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3C" w:rsidRPr="00B975A2" w:rsidRDefault="00AA2C3C">
      <w:pPr>
        <w:rPr>
          <w:sz w:val="24"/>
        </w:rPr>
      </w:pPr>
    </w:p>
    <w:p w:rsidR="00760BC1" w:rsidRDefault="001060EA" w:rsidP="002B4C13">
      <w:pPr>
        <w:pStyle w:val="Title"/>
        <w:jc w:val="center"/>
      </w:pPr>
      <w:r>
        <w:t>Q &amp; A: The State of Medicaid Due Process</w:t>
      </w:r>
      <w:r>
        <w:rPr>
          <w:rStyle w:val="FootnoteReference"/>
        </w:rPr>
        <w:footnoteReference w:id="1"/>
      </w:r>
    </w:p>
    <w:p w:rsidR="002B4C13" w:rsidRPr="00B975A2" w:rsidRDefault="0030428D" w:rsidP="001060EA">
      <w:pPr>
        <w:jc w:val="right"/>
        <w:rPr>
          <w:noProof/>
          <w:color w:val="002060"/>
          <w:sz w:val="24"/>
        </w:rPr>
      </w:pPr>
      <w:r w:rsidRPr="00B975A2">
        <w:rPr>
          <w:color w:val="002060"/>
          <w:sz w:val="24"/>
        </w:rPr>
        <w:t xml:space="preserve">Prepared By: </w:t>
      </w:r>
      <w:r w:rsidR="001060EA">
        <w:rPr>
          <w:color w:val="002060"/>
          <w:sz w:val="24"/>
        </w:rPr>
        <w:t>Sarah Somers</w:t>
      </w:r>
      <w:r w:rsidRPr="00B975A2">
        <w:rPr>
          <w:color w:val="002060"/>
          <w:sz w:val="24"/>
        </w:rPr>
        <w:br/>
        <w:t>Date:</w:t>
      </w:r>
      <w:r w:rsidR="001060EA">
        <w:rPr>
          <w:color w:val="002060"/>
          <w:sz w:val="24"/>
        </w:rPr>
        <w:t xml:space="preserve"> April 2013</w:t>
      </w:r>
      <w:r w:rsidR="001060EA" w:rsidRPr="00B975A2">
        <w:rPr>
          <w:noProof/>
          <w:color w:val="002060"/>
          <w:sz w:val="24"/>
        </w:rPr>
        <w:t xml:space="preserve"> </w:t>
      </w:r>
    </w:p>
    <w:p w:rsidR="001060EA" w:rsidRPr="00971423" w:rsidRDefault="001060EA" w:rsidP="00971423">
      <w:pPr>
        <w:pStyle w:val="Title"/>
        <w:spacing w:after="200" w:line="276" w:lineRule="auto"/>
        <w:rPr>
          <w:rFonts w:asciiTheme="minorHAnsi" w:hAnsiTheme="minorHAnsi" w:cstheme="minorHAnsi"/>
          <w:b/>
          <w:color w:val="000000"/>
          <w:sz w:val="24"/>
          <w:szCs w:val="24"/>
        </w:rPr>
      </w:pPr>
      <w:r w:rsidRPr="00971423">
        <w:rPr>
          <w:rFonts w:asciiTheme="minorHAnsi" w:hAnsiTheme="minorHAnsi" w:cstheme="minorHAnsi"/>
          <w:b/>
          <w:color w:val="000000"/>
          <w:sz w:val="24"/>
          <w:szCs w:val="24"/>
        </w:rPr>
        <w:t>Introduction</w:t>
      </w:r>
    </w:p>
    <w:p w:rsidR="00971423" w:rsidRDefault="00971423" w:rsidP="001060EA">
      <w:pPr>
        <w:pStyle w:val="Title"/>
        <w:spacing w:after="200" w:line="276" w:lineRule="auto"/>
        <w:rPr>
          <w:rFonts w:asciiTheme="minorHAnsi" w:hAnsiTheme="minorHAnsi" w:cstheme="minorHAnsi"/>
          <w:color w:val="000000"/>
          <w:sz w:val="24"/>
          <w:szCs w:val="24"/>
        </w:rPr>
      </w:pPr>
    </w:p>
    <w:p w:rsidR="001060EA" w:rsidRPr="001060EA" w:rsidRDefault="001060EA" w:rsidP="001060EA">
      <w:pPr>
        <w:pStyle w:val="Title"/>
        <w:spacing w:after="200" w:line="276" w:lineRule="auto"/>
        <w:rPr>
          <w:rFonts w:asciiTheme="minorHAnsi" w:hAnsiTheme="minorHAnsi" w:cstheme="minorHAnsi"/>
          <w:color w:val="000000"/>
          <w:sz w:val="24"/>
          <w:szCs w:val="24"/>
        </w:rPr>
      </w:pPr>
      <w:r w:rsidRPr="001060EA">
        <w:rPr>
          <w:rFonts w:asciiTheme="minorHAnsi" w:hAnsiTheme="minorHAnsi" w:cstheme="minorHAnsi"/>
          <w:color w:val="000000"/>
          <w:sz w:val="24"/>
          <w:szCs w:val="24"/>
        </w:rPr>
        <w:t xml:space="preserve">On March 14, 2013, </w:t>
      </w:r>
      <w:r w:rsidR="0085424E">
        <w:rPr>
          <w:rFonts w:asciiTheme="minorHAnsi" w:hAnsiTheme="minorHAnsi" w:cstheme="minorHAnsi"/>
          <w:color w:val="000000"/>
          <w:sz w:val="24"/>
          <w:szCs w:val="24"/>
        </w:rPr>
        <w:t>the National Disability Rights Network</w:t>
      </w:r>
      <w:r w:rsidRPr="001060EA">
        <w:rPr>
          <w:rFonts w:asciiTheme="minorHAnsi" w:hAnsiTheme="minorHAnsi" w:cstheme="minorHAnsi"/>
          <w:color w:val="000000"/>
          <w:sz w:val="24"/>
          <w:szCs w:val="24"/>
        </w:rPr>
        <w:t xml:space="preserve"> held a webinar, </w:t>
      </w:r>
      <w:r w:rsidRPr="001060EA">
        <w:rPr>
          <w:rFonts w:asciiTheme="minorHAnsi" w:hAnsiTheme="minorHAnsi" w:cstheme="minorHAnsi"/>
          <w:i/>
          <w:color w:val="000000"/>
          <w:sz w:val="24"/>
          <w:szCs w:val="24"/>
        </w:rPr>
        <w:t>The State of Medicaid Due Process</w:t>
      </w:r>
      <w:r w:rsidRPr="001060EA">
        <w:rPr>
          <w:rFonts w:asciiTheme="minorHAnsi" w:hAnsiTheme="minorHAnsi" w:cstheme="minorHAnsi"/>
          <w:color w:val="000000"/>
          <w:sz w:val="24"/>
          <w:szCs w:val="24"/>
        </w:rPr>
        <w:t xml:space="preserve">, at which Jane Perkins and Sarah Somers of NHeLP presented. This Q&amp;A responds to questions asked by participants in the webinar. </w:t>
      </w:r>
      <w:r w:rsidR="0085424E">
        <w:rPr>
          <w:rFonts w:asciiTheme="minorHAnsi" w:hAnsiTheme="minorHAnsi" w:cstheme="minorHAnsi"/>
          <w:color w:val="000000"/>
          <w:sz w:val="24"/>
          <w:szCs w:val="24"/>
        </w:rPr>
        <w:t xml:space="preserve"> </w:t>
      </w:r>
    </w:p>
    <w:p w:rsidR="001060EA" w:rsidRPr="001060EA" w:rsidRDefault="001060EA" w:rsidP="001060EA">
      <w:pPr>
        <w:ind w:left="720" w:hanging="720"/>
        <w:rPr>
          <w:rFonts w:cstheme="minorHAnsi"/>
          <w:sz w:val="24"/>
          <w:szCs w:val="24"/>
        </w:rPr>
      </w:pPr>
      <w:r w:rsidRPr="001060EA">
        <w:rPr>
          <w:rFonts w:cstheme="minorHAnsi"/>
          <w:b/>
          <w:sz w:val="24"/>
          <w:szCs w:val="24"/>
        </w:rPr>
        <w:t>Q1:</w:t>
      </w:r>
      <w:r w:rsidRPr="001060EA">
        <w:rPr>
          <w:rFonts w:cstheme="minorHAnsi"/>
          <w:sz w:val="24"/>
          <w:szCs w:val="24"/>
        </w:rPr>
        <w:tab/>
        <w:t xml:space="preserve">Has the federal government proposed regulations to govern notice and hearings provided by state Exchanges?  Do those regulations impose the same due process requirements on Exchanges that they do on state Medicaid agencies? </w:t>
      </w:r>
    </w:p>
    <w:p w:rsidR="001060EA" w:rsidRPr="001060EA" w:rsidRDefault="001060EA" w:rsidP="001060EA">
      <w:pPr>
        <w:ind w:left="720" w:hanging="720"/>
        <w:rPr>
          <w:rFonts w:cstheme="minorHAnsi"/>
          <w:sz w:val="24"/>
          <w:szCs w:val="24"/>
        </w:rPr>
      </w:pPr>
      <w:r w:rsidRPr="001060EA">
        <w:rPr>
          <w:rFonts w:cstheme="minorHAnsi"/>
          <w:b/>
          <w:sz w:val="24"/>
          <w:szCs w:val="24"/>
        </w:rPr>
        <w:t>A:</w:t>
      </w:r>
      <w:r w:rsidRPr="001060EA">
        <w:rPr>
          <w:rFonts w:cstheme="minorHAnsi"/>
          <w:b/>
          <w:sz w:val="24"/>
          <w:szCs w:val="24"/>
        </w:rPr>
        <w:tab/>
      </w:r>
      <w:r w:rsidRPr="001060EA">
        <w:rPr>
          <w:rFonts w:cstheme="minorHAnsi"/>
          <w:sz w:val="24"/>
          <w:szCs w:val="24"/>
        </w:rPr>
        <w:t xml:space="preserve"> Yes.  The proposed regulations were published at 78 Fed. Reg. 4594 (Jan. 22, 2013). They require that decisions related to eligibility for Qualified Health Plans (QHPs) or determination of the amount of advance premium tax credits or cost sharing give rise to the same notice and hearing rules as those that apply to Medicaid.  This includes advance notice of termination, suspension, or reduction of coverage and the right to continuing coverage pending appeal. </w:t>
      </w:r>
      <w:proofErr w:type="spellStart"/>
      <w:r w:rsidRPr="001060EA">
        <w:rPr>
          <w:rFonts w:cstheme="minorHAnsi"/>
          <w:sz w:val="24"/>
          <w:szCs w:val="24"/>
        </w:rPr>
        <w:t>NHeLP’s</w:t>
      </w:r>
      <w:proofErr w:type="spellEnd"/>
      <w:r w:rsidRPr="001060EA">
        <w:rPr>
          <w:rFonts w:cstheme="minorHAnsi"/>
          <w:sz w:val="24"/>
          <w:szCs w:val="24"/>
        </w:rPr>
        <w:t xml:space="preserve"> detailed comments on these regulations can be found on </w:t>
      </w:r>
      <w:proofErr w:type="spellStart"/>
      <w:r w:rsidRPr="001060EA">
        <w:rPr>
          <w:rFonts w:cstheme="minorHAnsi"/>
          <w:sz w:val="24"/>
          <w:szCs w:val="24"/>
        </w:rPr>
        <w:t>NHeLP’s</w:t>
      </w:r>
      <w:proofErr w:type="spellEnd"/>
      <w:r w:rsidRPr="001060EA">
        <w:rPr>
          <w:rFonts w:cstheme="minorHAnsi"/>
          <w:sz w:val="24"/>
          <w:szCs w:val="24"/>
        </w:rPr>
        <w:t xml:space="preserve"> website, at </w:t>
      </w:r>
      <w:hyperlink r:id="rId9" w:history="1">
        <w:r w:rsidRPr="001060EA">
          <w:rPr>
            <w:rStyle w:val="Hyperlink"/>
            <w:rFonts w:cstheme="minorHAnsi"/>
            <w:sz w:val="24"/>
            <w:szCs w:val="24"/>
          </w:rPr>
          <w:t>www.healthlaw.org</w:t>
        </w:r>
      </w:hyperlink>
      <w:r w:rsidRPr="001060EA">
        <w:rPr>
          <w:rFonts w:cstheme="minorHAnsi"/>
          <w:sz w:val="24"/>
          <w:szCs w:val="24"/>
        </w:rPr>
        <w:t>, and are included as supporting materials with the March 14 webinar.</w:t>
      </w:r>
    </w:p>
    <w:p w:rsidR="001060EA" w:rsidRPr="001060EA" w:rsidRDefault="001060EA" w:rsidP="001060EA">
      <w:pPr>
        <w:ind w:left="720" w:hanging="720"/>
        <w:rPr>
          <w:rFonts w:cstheme="minorHAnsi"/>
          <w:sz w:val="24"/>
          <w:szCs w:val="24"/>
        </w:rPr>
      </w:pPr>
      <w:r w:rsidRPr="001060EA">
        <w:rPr>
          <w:rFonts w:cstheme="minorHAnsi"/>
          <w:b/>
          <w:sz w:val="24"/>
          <w:szCs w:val="24"/>
        </w:rPr>
        <w:t xml:space="preserve">Q2: </w:t>
      </w:r>
      <w:r w:rsidRPr="001060EA">
        <w:rPr>
          <w:rFonts w:cstheme="minorHAnsi"/>
          <w:b/>
          <w:sz w:val="24"/>
          <w:szCs w:val="24"/>
        </w:rPr>
        <w:tab/>
      </w:r>
      <w:r w:rsidRPr="001060EA">
        <w:rPr>
          <w:rFonts w:cstheme="minorHAnsi"/>
          <w:sz w:val="24"/>
          <w:szCs w:val="24"/>
        </w:rPr>
        <w:t>Will different notice and hearing rights apply to decisions made by federally-facilitated Exchanges (FFEs) than to state-run Exchanges?</w:t>
      </w:r>
    </w:p>
    <w:p w:rsidR="001060EA" w:rsidRPr="001060EA" w:rsidRDefault="001060EA" w:rsidP="001060EA">
      <w:pPr>
        <w:ind w:left="720" w:hanging="720"/>
        <w:rPr>
          <w:rFonts w:cstheme="minorHAnsi"/>
          <w:sz w:val="24"/>
          <w:szCs w:val="24"/>
        </w:rPr>
      </w:pPr>
      <w:r w:rsidRPr="001060EA">
        <w:rPr>
          <w:rFonts w:cstheme="minorHAnsi"/>
          <w:b/>
          <w:sz w:val="24"/>
          <w:szCs w:val="24"/>
        </w:rPr>
        <w:t>A:</w:t>
      </w:r>
      <w:r w:rsidRPr="001060EA">
        <w:rPr>
          <w:rFonts w:cstheme="minorHAnsi"/>
          <w:b/>
          <w:sz w:val="24"/>
          <w:szCs w:val="24"/>
        </w:rPr>
        <w:tab/>
      </w:r>
      <w:r w:rsidRPr="001060EA">
        <w:rPr>
          <w:rFonts w:cstheme="minorHAnsi"/>
          <w:sz w:val="24"/>
          <w:szCs w:val="24"/>
        </w:rPr>
        <w:t xml:space="preserve">No.  The notice and hearing regulations will be applicable to all Exchanges, whether they are operated by the state or federal government.  </w:t>
      </w:r>
      <w:r w:rsidRPr="001060EA">
        <w:rPr>
          <w:rFonts w:cstheme="minorHAnsi"/>
          <w:i/>
          <w:sz w:val="24"/>
          <w:szCs w:val="24"/>
        </w:rPr>
        <w:t xml:space="preserve">See </w:t>
      </w:r>
      <w:r w:rsidRPr="001060EA">
        <w:rPr>
          <w:rFonts w:cstheme="minorHAnsi"/>
          <w:sz w:val="24"/>
          <w:szCs w:val="24"/>
        </w:rPr>
        <w:t>45 C.F.R. § 155.20 (defining “Exchanges” subject to the regulations as including FFEs).</w:t>
      </w:r>
    </w:p>
    <w:p w:rsidR="001060EA" w:rsidRPr="001060EA" w:rsidRDefault="001060EA" w:rsidP="001060EA">
      <w:pPr>
        <w:ind w:left="720" w:hanging="720"/>
        <w:rPr>
          <w:rFonts w:cstheme="minorHAnsi"/>
          <w:sz w:val="24"/>
          <w:szCs w:val="24"/>
        </w:rPr>
      </w:pPr>
      <w:r w:rsidRPr="001060EA">
        <w:rPr>
          <w:rFonts w:cstheme="minorHAnsi"/>
          <w:b/>
          <w:sz w:val="24"/>
          <w:szCs w:val="24"/>
        </w:rPr>
        <w:lastRenderedPageBreak/>
        <w:t>Q3:</w:t>
      </w:r>
      <w:r w:rsidRPr="001060EA">
        <w:rPr>
          <w:rFonts w:cstheme="minorHAnsi"/>
          <w:b/>
          <w:sz w:val="24"/>
          <w:szCs w:val="24"/>
        </w:rPr>
        <w:tab/>
      </w:r>
      <w:r w:rsidRPr="001060EA">
        <w:rPr>
          <w:rFonts w:cstheme="minorHAnsi"/>
          <w:sz w:val="24"/>
          <w:szCs w:val="24"/>
        </w:rPr>
        <w:t>Our state would like to have telephone or web-based hearings and provide the opportunity for in- person hearings only if there is a disability related reason. Does this violate Medicaid requirements or constitutional due process?</w:t>
      </w:r>
    </w:p>
    <w:p w:rsidR="001060EA" w:rsidRDefault="001060EA" w:rsidP="001060EA">
      <w:pPr>
        <w:ind w:left="720" w:hanging="720"/>
        <w:rPr>
          <w:rFonts w:cstheme="minorHAnsi"/>
          <w:sz w:val="24"/>
          <w:szCs w:val="24"/>
        </w:rPr>
      </w:pPr>
      <w:r w:rsidRPr="001060EA">
        <w:rPr>
          <w:rFonts w:cstheme="minorHAnsi"/>
          <w:b/>
          <w:sz w:val="24"/>
          <w:szCs w:val="24"/>
        </w:rPr>
        <w:t>A:</w:t>
      </w:r>
      <w:r w:rsidRPr="001060EA">
        <w:rPr>
          <w:rFonts w:cstheme="minorHAnsi"/>
          <w:b/>
          <w:sz w:val="24"/>
          <w:szCs w:val="24"/>
        </w:rPr>
        <w:tab/>
      </w:r>
      <w:r w:rsidRPr="001060EA">
        <w:rPr>
          <w:rFonts w:cstheme="minorHAnsi"/>
          <w:sz w:val="24"/>
          <w:szCs w:val="24"/>
        </w:rPr>
        <w:t xml:space="preserve">It is likely that, if there are sufficient procedural safeguards and accommodations are made for disabilities, the use of telephonic hearings would not violate Medicaid or constitutional requirements.  There are not, however, many published cases to address the issue. In </w:t>
      </w:r>
      <w:r w:rsidRPr="001060EA">
        <w:rPr>
          <w:rFonts w:cstheme="minorHAnsi"/>
          <w:i/>
          <w:sz w:val="24"/>
          <w:szCs w:val="24"/>
        </w:rPr>
        <w:t xml:space="preserve">Murphy v. Terrell, </w:t>
      </w:r>
      <w:r w:rsidRPr="001060EA">
        <w:rPr>
          <w:rFonts w:cstheme="minorHAnsi"/>
          <w:sz w:val="24"/>
          <w:szCs w:val="24"/>
        </w:rPr>
        <w:t>the Indiana Court of Appeals held that telephonic hearings did not violate constitutional due process.</w:t>
      </w:r>
      <w:r w:rsidRPr="001060EA">
        <w:rPr>
          <w:rStyle w:val="FootnoteReference"/>
          <w:rFonts w:cstheme="minorHAnsi"/>
          <w:sz w:val="24"/>
          <w:szCs w:val="24"/>
        </w:rPr>
        <w:footnoteReference w:id="2"/>
      </w:r>
      <w:r w:rsidRPr="001060EA">
        <w:rPr>
          <w:rFonts w:cstheme="minorHAnsi"/>
          <w:sz w:val="24"/>
          <w:szCs w:val="24"/>
        </w:rPr>
        <w:t xml:space="preserve"> Applying </w:t>
      </w:r>
      <w:r w:rsidRPr="001060EA">
        <w:rPr>
          <w:rFonts w:cstheme="minorHAnsi"/>
          <w:i/>
          <w:sz w:val="24"/>
          <w:szCs w:val="24"/>
        </w:rPr>
        <w:t xml:space="preserve">Mathews v. Eldridge, </w:t>
      </w:r>
      <w:r w:rsidRPr="001060EA">
        <w:rPr>
          <w:rFonts w:cstheme="minorHAnsi"/>
          <w:sz w:val="24"/>
          <w:szCs w:val="24"/>
        </w:rPr>
        <w:t>the court balanced the interest of the applicants against the government’s interest and also considered the potential of erroneous deprivation of benefits.</w:t>
      </w:r>
      <w:r w:rsidRPr="001060EA">
        <w:rPr>
          <w:rStyle w:val="FootnoteReference"/>
          <w:rFonts w:cstheme="minorHAnsi"/>
          <w:sz w:val="24"/>
          <w:szCs w:val="24"/>
        </w:rPr>
        <w:footnoteReference w:id="3"/>
      </w:r>
      <w:r w:rsidRPr="001060EA">
        <w:rPr>
          <w:rFonts w:cstheme="minorHAnsi"/>
          <w:sz w:val="24"/>
          <w:szCs w:val="24"/>
        </w:rPr>
        <w:t xml:space="preserve"> It held that the government’s interest outweighed those of the individual beneficiaries/applicants and found insufficient evidence of potential for wrongful deprivation.  The court also cited several cases reaching similar conclusions. While this case constitutes controlling precedent only in Indiana, given the lack of cases on this issue, other courts may well find it persuasive.</w:t>
      </w:r>
    </w:p>
    <w:p w:rsidR="001060EA" w:rsidRPr="001060EA" w:rsidRDefault="001060EA" w:rsidP="001060EA">
      <w:pPr>
        <w:ind w:left="720" w:hanging="720"/>
        <w:rPr>
          <w:rFonts w:cstheme="minorHAnsi"/>
          <w:sz w:val="24"/>
          <w:szCs w:val="24"/>
        </w:rPr>
      </w:pPr>
      <w:r>
        <w:rPr>
          <w:rFonts w:cstheme="minorHAnsi"/>
          <w:b/>
          <w:sz w:val="24"/>
          <w:szCs w:val="24"/>
        </w:rPr>
        <w:tab/>
      </w:r>
      <w:r w:rsidRPr="001060EA">
        <w:rPr>
          <w:rFonts w:cstheme="minorHAnsi"/>
          <w:sz w:val="24"/>
          <w:szCs w:val="24"/>
        </w:rPr>
        <w:tab/>
        <w:t xml:space="preserve">In that case, however, there was no claim that individuals were prevented from meaningful participation in a telephone hearing because of a disability. Notably, the Indiana Supreme Court has also held that the ADA was violated when reasonable accommodations were not made to provide in-person eligibility interviews people with hearing impairments.  </w:t>
      </w:r>
      <w:proofErr w:type="gramStart"/>
      <w:r w:rsidRPr="001060EA">
        <w:rPr>
          <w:rFonts w:cstheme="minorHAnsi"/>
          <w:i/>
          <w:sz w:val="24"/>
          <w:szCs w:val="24"/>
        </w:rPr>
        <w:t xml:space="preserve">Perdue v. </w:t>
      </w:r>
      <w:proofErr w:type="spellStart"/>
      <w:r w:rsidRPr="001060EA">
        <w:rPr>
          <w:rFonts w:cstheme="minorHAnsi"/>
          <w:i/>
          <w:sz w:val="24"/>
          <w:szCs w:val="24"/>
        </w:rPr>
        <w:t>Gargano</w:t>
      </w:r>
      <w:proofErr w:type="spellEnd"/>
      <w:r w:rsidRPr="001060EA">
        <w:rPr>
          <w:rFonts w:cstheme="minorHAnsi"/>
          <w:i/>
          <w:sz w:val="24"/>
          <w:szCs w:val="24"/>
        </w:rPr>
        <w:t>,</w:t>
      </w:r>
      <w:r w:rsidRPr="001060EA">
        <w:rPr>
          <w:rFonts w:cstheme="minorHAnsi"/>
          <w:sz w:val="24"/>
          <w:szCs w:val="24"/>
        </w:rPr>
        <w:t xml:space="preserve"> 964 N.E.2d 825 (Ind. 2012).</w:t>
      </w:r>
      <w:proofErr w:type="gramEnd"/>
      <w:r w:rsidRPr="001060EA">
        <w:rPr>
          <w:rFonts w:cstheme="minorHAnsi"/>
          <w:sz w:val="24"/>
          <w:szCs w:val="24"/>
        </w:rPr>
        <w:t xml:space="preserve"> It is likely that courts would apply similar logic in the hearing context, particularly given the constitutional interests implicated by a hearing.   </w:t>
      </w:r>
    </w:p>
    <w:p w:rsidR="001060EA" w:rsidRPr="001060EA" w:rsidRDefault="001060EA" w:rsidP="001060EA">
      <w:pPr>
        <w:ind w:left="720"/>
        <w:rPr>
          <w:rFonts w:cstheme="minorHAnsi"/>
          <w:color w:val="000000"/>
          <w:sz w:val="24"/>
          <w:szCs w:val="24"/>
          <w:lang w:val="en-GB"/>
        </w:rPr>
      </w:pPr>
      <w:proofErr w:type="gramStart"/>
      <w:r w:rsidRPr="001060EA">
        <w:rPr>
          <w:rFonts w:cstheme="minorHAnsi"/>
          <w:sz w:val="24"/>
          <w:szCs w:val="24"/>
        </w:rPr>
        <w:t xml:space="preserve">An older case, </w:t>
      </w:r>
      <w:r w:rsidRPr="001060EA">
        <w:rPr>
          <w:rStyle w:val="Emphasis"/>
          <w:rFonts w:cstheme="minorHAnsi"/>
          <w:color w:val="000000"/>
          <w:sz w:val="24"/>
          <w:szCs w:val="24"/>
          <w:lang w:val="en-GB"/>
        </w:rPr>
        <w:t xml:space="preserve">N.M. ex. rel. Human </w:t>
      </w:r>
      <w:proofErr w:type="spellStart"/>
      <w:r w:rsidRPr="001060EA">
        <w:rPr>
          <w:rStyle w:val="Emphasis"/>
          <w:rFonts w:cstheme="minorHAnsi"/>
          <w:color w:val="000000"/>
          <w:sz w:val="24"/>
          <w:szCs w:val="24"/>
          <w:lang w:val="en-GB"/>
        </w:rPr>
        <w:t>Servs</w:t>
      </w:r>
      <w:proofErr w:type="spellEnd"/>
      <w:r w:rsidRPr="001060EA">
        <w:rPr>
          <w:rStyle w:val="Emphasis"/>
          <w:rFonts w:cstheme="minorHAnsi"/>
          <w:color w:val="000000"/>
          <w:sz w:val="24"/>
          <w:szCs w:val="24"/>
          <w:lang w:val="en-GB"/>
        </w:rPr>
        <w:t>.</w:t>
      </w:r>
      <w:proofErr w:type="gramEnd"/>
      <w:r w:rsidRPr="001060EA">
        <w:rPr>
          <w:rStyle w:val="Emphasis"/>
          <w:rFonts w:cstheme="minorHAnsi"/>
          <w:color w:val="000000"/>
          <w:sz w:val="24"/>
          <w:szCs w:val="24"/>
          <w:lang w:val="en-GB"/>
        </w:rPr>
        <w:t xml:space="preserve"> Dep’t v. </w:t>
      </w:r>
      <w:proofErr w:type="gramStart"/>
      <w:r w:rsidRPr="001060EA">
        <w:rPr>
          <w:rStyle w:val="Emphasis"/>
          <w:rFonts w:cstheme="minorHAnsi"/>
          <w:color w:val="000000"/>
          <w:sz w:val="24"/>
          <w:szCs w:val="24"/>
          <w:lang w:val="en-GB"/>
        </w:rPr>
        <w:t>Gomez</w:t>
      </w:r>
      <w:r w:rsidRPr="001060EA">
        <w:rPr>
          <w:rFonts w:cstheme="minorHAnsi"/>
          <w:color w:val="000000"/>
          <w:sz w:val="24"/>
          <w:szCs w:val="24"/>
          <w:lang w:val="en-GB"/>
        </w:rPr>
        <w:t>,</w:t>
      </w:r>
      <w:proofErr w:type="gramEnd"/>
      <w:r w:rsidRPr="001060EA">
        <w:rPr>
          <w:rFonts w:cstheme="minorHAnsi"/>
          <w:color w:val="000000"/>
          <w:sz w:val="24"/>
          <w:szCs w:val="24"/>
          <w:lang w:val="en-GB"/>
        </w:rPr>
        <w:t xml:space="preserve"> held that conducting telephone AFDC hearing over claimant’s objection and failing to observe the </w:t>
      </w:r>
      <w:proofErr w:type="spellStart"/>
      <w:r w:rsidRPr="001060EA">
        <w:rPr>
          <w:rFonts w:cstheme="minorHAnsi"/>
          <w:color w:val="000000"/>
          <w:sz w:val="24"/>
          <w:szCs w:val="24"/>
          <w:lang w:val="en-GB"/>
        </w:rPr>
        <w:t>demeanor</w:t>
      </w:r>
      <w:proofErr w:type="spellEnd"/>
      <w:r w:rsidRPr="001060EA">
        <w:rPr>
          <w:rFonts w:cstheme="minorHAnsi"/>
          <w:color w:val="000000"/>
          <w:sz w:val="24"/>
          <w:szCs w:val="24"/>
          <w:lang w:val="en-GB"/>
        </w:rPr>
        <w:t xml:space="preserve"> of witnesses denied a claimant due process of law. It seems unlikely, however, that courts in 2013, given the increasing prevalence of phone and on-line communication, would place as much importance on in-person contact.</w:t>
      </w:r>
      <w:r w:rsidRPr="001060EA">
        <w:rPr>
          <w:rStyle w:val="FootnoteReference"/>
          <w:rFonts w:cstheme="minorHAnsi"/>
          <w:color w:val="000000"/>
          <w:sz w:val="24"/>
          <w:szCs w:val="24"/>
          <w:lang w:val="en-GB"/>
        </w:rPr>
        <w:footnoteReference w:id="4"/>
      </w:r>
      <w:r w:rsidRPr="001060EA">
        <w:rPr>
          <w:rFonts w:cstheme="minorHAnsi"/>
          <w:color w:val="000000"/>
          <w:sz w:val="24"/>
          <w:szCs w:val="24"/>
          <w:lang w:val="en-GB"/>
        </w:rPr>
        <w:t xml:space="preserve"> </w:t>
      </w:r>
    </w:p>
    <w:p w:rsidR="001060EA" w:rsidRPr="001060EA" w:rsidRDefault="001060EA" w:rsidP="001060EA">
      <w:pPr>
        <w:ind w:left="720" w:hanging="630"/>
        <w:rPr>
          <w:rFonts w:cstheme="minorHAnsi"/>
          <w:b/>
          <w:sz w:val="24"/>
          <w:szCs w:val="24"/>
        </w:rPr>
      </w:pPr>
      <w:r w:rsidRPr="001060EA">
        <w:rPr>
          <w:rFonts w:cstheme="minorHAnsi"/>
          <w:b/>
          <w:sz w:val="24"/>
          <w:szCs w:val="24"/>
        </w:rPr>
        <w:t>Q4:</w:t>
      </w:r>
      <w:r w:rsidRPr="001060EA">
        <w:rPr>
          <w:rFonts w:cstheme="minorHAnsi"/>
          <w:sz w:val="24"/>
          <w:szCs w:val="24"/>
        </w:rPr>
        <w:tab/>
        <w:t>My state uses an assessment tool to categorize home and community based waiver recipients into groups based on their score on the tool. The service budget for each individual is determined by the group in which they are placed. Can the tool itself be challenged?  Also, after the score is decided, the state uses other factors to determine group assignment, including a determination by the state's waiver manager, using her discretion. Can this determination be challenged?</w:t>
      </w:r>
    </w:p>
    <w:p w:rsidR="001060EA" w:rsidRPr="001060EA" w:rsidRDefault="001060EA" w:rsidP="001060EA">
      <w:pPr>
        <w:ind w:left="720" w:hanging="720"/>
        <w:rPr>
          <w:rFonts w:cstheme="minorHAnsi"/>
          <w:sz w:val="24"/>
          <w:szCs w:val="24"/>
        </w:rPr>
      </w:pPr>
      <w:r w:rsidRPr="001060EA">
        <w:rPr>
          <w:rFonts w:cstheme="minorHAnsi"/>
          <w:b/>
          <w:sz w:val="24"/>
          <w:szCs w:val="24"/>
        </w:rPr>
        <w:lastRenderedPageBreak/>
        <w:t>A:</w:t>
      </w:r>
      <w:r w:rsidRPr="001060EA">
        <w:rPr>
          <w:rFonts w:cstheme="minorHAnsi"/>
          <w:b/>
          <w:sz w:val="24"/>
          <w:szCs w:val="24"/>
        </w:rPr>
        <w:tab/>
      </w:r>
      <w:r w:rsidRPr="001060EA">
        <w:rPr>
          <w:rFonts w:cstheme="minorHAnsi"/>
          <w:sz w:val="24"/>
          <w:szCs w:val="24"/>
        </w:rPr>
        <w:t xml:space="preserve">Individuals who have been denied services based on the use of assessment tools have filed challenges to their use. These cases include claims that the use of these tools violates Medicaid’s comparability requirement, reasonable standards requirement, and Medicaid and constitutional due process. For examples, </w:t>
      </w:r>
      <w:r w:rsidRPr="001060EA">
        <w:rPr>
          <w:rFonts w:cstheme="minorHAnsi"/>
          <w:i/>
          <w:sz w:val="24"/>
          <w:szCs w:val="24"/>
        </w:rPr>
        <w:t xml:space="preserve">see Oster v. </w:t>
      </w:r>
      <w:proofErr w:type="spellStart"/>
      <w:r w:rsidRPr="001060EA">
        <w:rPr>
          <w:rFonts w:cstheme="minorHAnsi"/>
          <w:i/>
          <w:sz w:val="24"/>
          <w:szCs w:val="24"/>
        </w:rPr>
        <w:t>Lightbourne</w:t>
      </w:r>
      <w:proofErr w:type="spellEnd"/>
      <w:r w:rsidRPr="001060EA">
        <w:rPr>
          <w:rFonts w:cstheme="minorHAnsi"/>
          <w:i/>
          <w:sz w:val="24"/>
          <w:szCs w:val="24"/>
        </w:rPr>
        <w:t xml:space="preserve"> </w:t>
      </w:r>
      <w:r w:rsidRPr="001060EA">
        <w:rPr>
          <w:rFonts w:cstheme="minorHAnsi"/>
          <w:sz w:val="24"/>
          <w:szCs w:val="24"/>
        </w:rPr>
        <w:t xml:space="preserve">discussed below in the response to Q8. The practice of using a manager to make discretionary adjustments can be challenged on similar grounds, if it results in the wrongful denial or termination of eligibility or services.  </w:t>
      </w:r>
    </w:p>
    <w:p w:rsidR="001060EA" w:rsidRPr="001060EA" w:rsidRDefault="001060EA" w:rsidP="001060EA">
      <w:pPr>
        <w:ind w:left="720" w:hanging="720"/>
        <w:rPr>
          <w:rFonts w:cstheme="minorHAnsi"/>
          <w:sz w:val="24"/>
          <w:szCs w:val="24"/>
        </w:rPr>
      </w:pPr>
      <w:r w:rsidRPr="001060EA">
        <w:rPr>
          <w:rFonts w:cstheme="minorHAnsi"/>
          <w:b/>
          <w:sz w:val="24"/>
          <w:szCs w:val="24"/>
        </w:rPr>
        <w:t>Q5:</w:t>
      </w:r>
      <w:r w:rsidRPr="001060EA">
        <w:rPr>
          <w:rFonts w:cstheme="minorHAnsi"/>
          <w:sz w:val="24"/>
          <w:szCs w:val="24"/>
        </w:rPr>
        <w:tab/>
        <w:t xml:space="preserve">My client received a notice informing him that he is eligible for a home and community based waiver and is liable for a share of cost.  The notice states what his share of cost will be but provides no information regarding what income was counted.  More importantly, it does not indicate what medical expenses were approved as deductions, which were denied, and why. What are arguments that this notice does not conform to due process requirements? </w:t>
      </w:r>
    </w:p>
    <w:p w:rsidR="001060EA" w:rsidRPr="001060EA" w:rsidRDefault="001060EA" w:rsidP="001060EA">
      <w:pPr>
        <w:ind w:left="720" w:hanging="720"/>
        <w:rPr>
          <w:rFonts w:cstheme="minorHAnsi"/>
          <w:sz w:val="24"/>
          <w:szCs w:val="24"/>
        </w:rPr>
      </w:pPr>
      <w:r w:rsidRPr="001060EA">
        <w:rPr>
          <w:rFonts w:cstheme="minorHAnsi"/>
          <w:b/>
          <w:sz w:val="24"/>
          <w:szCs w:val="24"/>
        </w:rPr>
        <w:t>A:</w:t>
      </w:r>
      <w:r w:rsidRPr="001060EA">
        <w:rPr>
          <w:rFonts w:cstheme="minorHAnsi"/>
          <w:b/>
          <w:sz w:val="24"/>
          <w:szCs w:val="24"/>
        </w:rPr>
        <w:tab/>
      </w:r>
      <w:r w:rsidRPr="001060EA">
        <w:rPr>
          <w:rFonts w:cstheme="minorHAnsi"/>
          <w:sz w:val="24"/>
          <w:szCs w:val="24"/>
        </w:rPr>
        <w:t xml:space="preserve">Current regulations provide that a notice must contain “a statement of action the State” intends to take.  </w:t>
      </w:r>
      <w:proofErr w:type="gramStart"/>
      <w:r w:rsidRPr="001060EA">
        <w:rPr>
          <w:rFonts w:cstheme="minorHAnsi"/>
          <w:sz w:val="24"/>
          <w:szCs w:val="24"/>
        </w:rPr>
        <w:t>42 C.F.R. § 431.210.</w:t>
      </w:r>
      <w:proofErr w:type="gramEnd"/>
      <w:r w:rsidRPr="001060EA">
        <w:rPr>
          <w:rFonts w:cstheme="minorHAnsi"/>
          <w:sz w:val="24"/>
          <w:szCs w:val="24"/>
        </w:rPr>
        <w:t xml:space="preserve"> The proposed due process regulations require “clear” notice of “the specific reasons” supporting an action.  The proposed </w:t>
      </w:r>
      <w:proofErr w:type="spellStart"/>
      <w:r w:rsidRPr="001060EA">
        <w:rPr>
          <w:rFonts w:cstheme="minorHAnsi"/>
          <w:sz w:val="24"/>
          <w:szCs w:val="24"/>
        </w:rPr>
        <w:t>regs</w:t>
      </w:r>
      <w:proofErr w:type="spellEnd"/>
      <w:r w:rsidRPr="001060EA">
        <w:rPr>
          <w:rFonts w:cstheme="minorHAnsi"/>
          <w:sz w:val="24"/>
          <w:szCs w:val="24"/>
        </w:rPr>
        <w:t xml:space="preserve"> also define an action as the determination of the amount of medical expenses which must be incurred to establish income eligibility for the medically needy and those eligible through </w:t>
      </w:r>
      <w:proofErr w:type="gramStart"/>
      <w:r w:rsidRPr="001060EA">
        <w:rPr>
          <w:rFonts w:cstheme="minorHAnsi"/>
          <w:sz w:val="24"/>
          <w:szCs w:val="24"/>
        </w:rPr>
        <w:t>a spend</w:t>
      </w:r>
      <w:proofErr w:type="gramEnd"/>
      <w:r w:rsidRPr="001060EA">
        <w:rPr>
          <w:rFonts w:cstheme="minorHAnsi"/>
          <w:sz w:val="24"/>
          <w:szCs w:val="24"/>
        </w:rPr>
        <w:t xml:space="preserve"> down. Proposed § 431.201, 78 Fed. </w:t>
      </w:r>
      <w:proofErr w:type="gramStart"/>
      <w:r w:rsidRPr="001060EA">
        <w:rPr>
          <w:rFonts w:cstheme="minorHAnsi"/>
          <w:sz w:val="24"/>
          <w:szCs w:val="24"/>
        </w:rPr>
        <w:t>Reg. 4652.</w:t>
      </w:r>
      <w:proofErr w:type="gramEnd"/>
      <w:r w:rsidRPr="001060EA">
        <w:rPr>
          <w:rFonts w:cstheme="minorHAnsi"/>
          <w:sz w:val="24"/>
          <w:szCs w:val="24"/>
        </w:rPr>
        <w:t xml:space="preserve"> The proposed requirements also provide that the matters to be considered at a hearing include the determination of the amount of medical expenses that must be incurred to qualify as medically needy or eligible through </w:t>
      </w:r>
      <w:proofErr w:type="gramStart"/>
      <w:r w:rsidRPr="001060EA">
        <w:rPr>
          <w:rFonts w:cstheme="minorHAnsi"/>
          <w:sz w:val="24"/>
          <w:szCs w:val="24"/>
        </w:rPr>
        <w:t>a spend</w:t>
      </w:r>
      <w:proofErr w:type="gramEnd"/>
      <w:r w:rsidRPr="001060EA">
        <w:rPr>
          <w:rFonts w:cstheme="minorHAnsi"/>
          <w:sz w:val="24"/>
          <w:szCs w:val="24"/>
        </w:rPr>
        <w:t xml:space="preserve"> down. </w:t>
      </w:r>
      <w:r w:rsidRPr="001060EA">
        <w:rPr>
          <w:rFonts w:cstheme="minorHAnsi"/>
          <w:i/>
          <w:sz w:val="24"/>
          <w:szCs w:val="24"/>
        </w:rPr>
        <w:t xml:space="preserve">Id., </w:t>
      </w:r>
      <w:r w:rsidRPr="001060EA">
        <w:rPr>
          <w:rFonts w:cstheme="minorHAnsi"/>
          <w:sz w:val="24"/>
          <w:szCs w:val="24"/>
        </w:rPr>
        <w:t>Proposed § 431.21(a</w:t>
      </w:r>
      <w:proofErr w:type="gramStart"/>
      <w:r w:rsidRPr="001060EA">
        <w:rPr>
          <w:rFonts w:cstheme="minorHAnsi"/>
          <w:sz w:val="24"/>
          <w:szCs w:val="24"/>
        </w:rPr>
        <w:t>)(</w:t>
      </w:r>
      <w:proofErr w:type="gramEnd"/>
      <w:r w:rsidRPr="001060EA">
        <w:rPr>
          <w:rFonts w:cstheme="minorHAnsi"/>
          <w:sz w:val="24"/>
          <w:szCs w:val="24"/>
        </w:rPr>
        <w:t>1). This is solid support for the argument that the notice must contain the information underlying this determination, in order to enable an individual to properly present his case.</w:t>
      </w:r>
    </w:p>
    <w:p w:rsidR="001060EA" w:rsidRPr="001060EA" w:rsidRDefault="001060EA" w:rsidP="001060EA">
      <w:pPr>
        <w:ind w:left="720"/>
        <w:rPr>
          <w:rFonts w:cstheme="minorHAnsi"/>
          <w:sz w:val="24"/>
          <w:szCs w:val="24"/>
        </w:rPr>
      </w:pPr>
      <w:r w:rsidRPr="001060EA">
        <w:rPr>
          <w:rFonts w:cstheme="minorHAnsi"/>
          <w:sz w:val="24"/>
          <w:szCs w:val="24"/>
        </w:rPr>
        <w:t xml:space="preserve">Even in the unlikely event that these proposed regulations do not become final, CMS made it clear in the preamble that the changes to the notice and hearing provisions were intended only to clarify, not change the meaning of the existing requirements. Proposed 42 C.F.R. § 431.210; 78 Fed. </w:t>
      </w:r>
      <w:proofErr w:type="gramStart"/>
      <w:r w:rsidRPr="001060EA">
        <w:rPr>
          <w:rFonts w:cstheme="minorHAnsi"/>
          <w:sz w:val="24"/>
          <w:szCs w:val="24"/>
        </w:rPr>
        <w:t>Reg. 4600.</w:t>
      </w:r>
      <w:proofErr w:type="gramEnd"/>
    </w:p>
    <w:p w:rsidR="001060EA" w:rsidRPr="001060EA" w:rsidRDefault="001060EA" w:rsidP="001060EA">
      <w:pPr>
        <w:ind w:left="720" w:hanging="720"/>
        <w:rPr>
          <w:rFonts w:cstheme="minorHAnsi"/>
          <w:color w:val="000000"/>
          <w:kern w:val="36"/>
          <w:sz w:val="24"/>
          <w:szCs w:val="24"/>
        </w:rPr>
      </w:pPr>
      <w:r w:rsidRPr="001060EA">
        <w:rPr>
          <w:rFonts w:cstheme="minorHAnsi"/>
          <w:sz w:val="24"/>
          <w:szCs w:val="24"/>
        </w:rPr>
        <w:tab/>
        <w:t xml:space="preserve">One of the fundamental requirements of procedural due process is </w:t>
      </w:r>
      <w:r w:rsidRPr="001060EA">
        <w:rPr>
          <w:rFonts w:cstheme="minorHAnsi"/>
          <w:color w:val="000000"/>
          <w:sz w:val="24"/>
          <w:szCs w:val="24"/>
        </w:rPr>
        <w:t xml:space="preserve">notice must be reasonably calculated, under all circumstances, to inform interested parties of the pendency of the action and afford them opportunity to present their objections.  </w:t>
      </w:r>
      <w:proofErr w:type="gramStart"/>
      <w:r w:rsidRPr="001060EA">
        <w:rPr>
          <w:rFonts w:cstheme="minorHAnsi"/>
          <w:i/>
          <w:color w:val="000000"/>
          <w:sz w:val="24"/>
          <w:szCs w:val="24"/>
        </w:rPr>
        <w:t xml:space="preserve">See, e.g., </w:t>
      </w:r>
      <w:proofErr w:type="spellStart"/>
      <w:r w:rsidRPr="001060EA">
        <w:rPr>
          <w:rFonts w:cstheme="minorHAnsi"/>
          <w:i/>
          <w:color w:val="000000"/>
          <w:sz w:val="24"/>
          <w:szCs w:val="24"/>
        </w:rPr>
        <w:t>Strouchler</w:t>
      </w:r>
      <w:proofErr w:type="spellEnd"/>
      <w:r w:rsidRPr="001060EA">
        <w:rPr>
          <w:rFonts w:cstheme="minorHAnsi"/>
          <w:i/>
          <w:color w:val="000000"/>
          <w:sz w:val="24"/>
          <w:szCs w:val="24"/>
        </w:rPr>
        <w:t xml:space="preserve"> v. Shah, </w:t>
      </w:r>
      <w:r w:rsidRPr="001060EA">
        <w:rPr>
          <w:rFonts w:cstheme="minorHAnsi"/>
          <w:color w:val="000000"/>
          <w:kern w:val="36"/>
          <w:sz w:val="24"/>
          <w:szCs w:val="24"/>
        </w:rPr>
        <w:t>891 F. Supp. 2d 504 (S.D.N.Y. 2012).</w:t>
      </w:r>
      <w:proofErr w:type="gramEnd"/>
      <w:r w:rsidRPr="001060EA">
        <w:rPr>
          <w:rFonts w:cstheme="minorHAnsi"/>
          <w:color w:val="000000"/>
          <w:kern w:val="36"/>
          <w:sz w:val="24"/>
          <w:szCs w:val="24"/>
        </w:rPr>
        <w:t xml:space="preserve"> This supports an argument that the information upon which </w:t>
      </w:r>
      <w:proofErr w:type="gramStart"/>
      <w:r w:rsidRPr="001060EA">
        <w:rPr>
          <w:rFonts w:cstheme="minorHAnsi"/>
          <w:color w:val="000000"/>
          <w:kern w:val="36"/>
          <w:sz w:val="24"/>
          <w:szCs w:val="24"/>
        </w:rPr>
        <w:t>the spend</w:t>
      </w:r>
      <w:proofErr w:type="gramEnd"/>
      <w:r w:rsidRPr="001060EA">
        <w:rPr>
          <w:rFonts w:cstheme="minorHAnsi"/>
          <w:color w:val="000000"/>
          <w:kern w:val="36"/>
          <w:sz w:val="24"/>
          <w:szCs w:val="24"/>
        </w:rPr>
        <w:t xml:space="preserve"> down decision is based must be contained in the notice, because without it, the applicant could not adequately make his case that he is entitled to a spend down in a certain amount. </w:t>
      </w:r>
    </w:p>
    <w:p w:rsidR="001060EA" w:rsidRPr="001060EA" w:rsidRDefault="001060EA" w:rsidP="001060EA">
      <w:pPr>
        <w:ind w:left="720"/>
        <w:rPr>
          <w:rFonts w:cstheme="minorHAnsi"/>
          <w:color w:val="000000"/>
          <w:sz w:val="24"/>
          <w:szCs w:val="24"/>
          <w:lang w:val="en-GB"/>
        </w:rPr>
      </w:pPr>
      <w:r w:rsidRPr="001060EA">
        <w:rPr>
          <w:rFonts w:cstheme="minorHAnsi"/>
          <w:sz w:val="24"/>
          <w:szCs w:val="24"/>
        </w:rPr>
        <w:lastRenderedPageBreak/>
        <w:t xml:space="preserve">There are also a number of cases that would support your argument.  For example, in </w:t>
      </w:r>
      <w:r w:rsidRPr="001060EA">
        <w:rPr>
          <w:rStyle w:val="Emphasis"/>
          <w:rFonts w:cstheme="minorHAnsi"/>
          <w:color w:val="000000"/>
          <w:sz w:val="24"/>
          <w:szCs w:val="24"/>
          <w:lang w:val="en-GB"/>
        </w:rPr>
        <w:t xml:space="preserve">Baker v. Dep’t of Health &amp; Soc. </w:t>
      </w:r>
      <w:proofErr w:type="spellStart"/>
      <w:r w:rsidRPr="001060EA">
        <w:rPr>
          <w:rStyle w:val="Emphasis"/>
          <w:rFonts w:cstheme="minorHAnsi"/>
          <w:color w:val="000000"/>
          <w:sz w:val="24"/>
          <w:szCs w:val="24"/>
          <w:lang w:val="en-GB"/>
        </w:rPr>
        <w:t>Servs</w:t>
      </w:r>
      <w:proofErr w:type="spellEnd"/>
      <w:r w:rsidRPr="001060EA">
        <w:rPr>
          <w:rStyle w:val="Emphasis"/>
          <w:rFonts w:cstheme="minorHAnsi"/>
          <w:color w:val="000000"/>
          <w:sz w:val="24"/>
          <w:szCs w:val="24"/>
          <w:lang w:val="en-GB"/>
        </w:rPr>
        <w:t>.</w:t>
      </w:r>
      <w:r w:rsidRPr="001060EA">
        <w:rPr>
          <w:rFonts w:cstheme="minorHAnsi"/>
          <w:color w:val="000000"/>
          <w:sz w:val="24"/>
          <w:szCs w:val="24"/>
          <w:lang w:val="en-GB"/>
        </w:rPr>
        <w:t>, the Supreme Court of Alaska held that notice must show how and why the state decided to reduce services, including providing a copy of the assessment tool used to reduce services.</w:t>
      </w:r>
      <w:r w:rsidRPr="001060EA">
        <w:rPr>
          <w:rStyle w:val="FootnoteReference"/>
          <w:rFonts w:cstheme="minorHAnsi"/>
          <w:sz w:val="24"/>
          <w:szCs w:val="24"/>
        </w:rPr>
        <w:footnoteReference w:id="5"/>
      </w:r>
      <w:r w:rsidRPr="001060EA">
        <w:rPr>
          <w:rFonts w:cstheme="minorHAnsi"/>
          <w:color w:val="000000"/>
          <w:sz w:val="24"/>
          <w:szCs w:val="24"/>
          <w:lang w:val="en-GB"/>
        </w:rPr>
        <w:t xml:space="preserve"> Also, in </w:t>
      </w:r>
      <w:r w:rsidRPr="001060EA">
        <w:rPr>
          <w:rFonts w:cstheme="minorHAnsi"/>
          <w:i/>
          <w:color w:val="000000"/>
          <w:sz w:val="24"/>
          <w:szCs w:val="24"/>
          <w:lang w:val="en-GB"/>
        </w:rPr>
        <w:t xml:space="preserve">Ortiz v. </w:t>
      </w:r>
      <w:proofErr w:type="spellStart"/>
      <w:r w:rsidRPr="001060EA">
        <w:rPr>
          <w:rFonts w:cstheme="minorHAnsi"/>
          <w:i/>
          <w:color w:val="000000"/>
          <w:sz w:val="24"/>
          <w:szCs w:val="24"/>
          <w:lang w:val="en-GB"/>
        </w:rPr>
        <w:t>Eichler</w:t>
      </w:r>
      <w:proofErr w:type="spellEnd"/>
      <w:r w:rsidRPr="001060EA">
        <w:rPr>
          <w:rFonts w:cstheme="minorHAnsi"/>
          <w:i/>
          <w:color w:val="000000"/>
          <w:sz w:val="24"/>
          <w:szCs w:val="24"/>
          <w:lang w:val="en-GB"/>
        </w:rPr>
        <w:t xml:space="preserve">, </w:t>
      </w:r>
      <w:r w:rsidRPr="001060EA">
        <w:rPr>
          <w:rFonts w:cstheme="minorHAnsi"/>
          <w:color w:val="000000"/>
          <w:sz w:val="24"/>
          <w:szCs w:val="24"/>
          <w:lang w:val="en-GB"/>
        </w:rPr>
        <w:t>the court stated that “[</w:t>
      </w:r>
      <w:proofErr w:type="spellStart"/>
      <w:r w:rsidRPr="001060EA">
        <w:rPr>
          <w:rFonts w:cstheme="minorHAnsi"/>
          <w:color w:val="000000"/>
          <w:sz w:val="24"/>
          <w:szCs w:val="24"/>
          <w:lang w:val="en-GB"/>
        </w:rPr>
        <w:t>i</w:t>
      </w:r>
      <w:proofErr w:type="spellEnd"/>
      <w:r w:rsidRPr="001060EA">
        <w:rPr>
          <w:rFonts w:cstheme="minorHAnsi"/>
          <w:color w:val="000000"/>
          <w:sz w:val="24"/>
          <w:szCs w:val="24"/>
          <w:lang w:val="en-GB"/>
        </w:rPr>
        <w:t>]f calculations of a claimant's income or resources are involved, DES must set forth the calculations it used to arrive at its decision, i.e., explain what funds it considers the claimant to have and what the relevant eligibility limits are.”</w:t>
      </w:r>
      <w:r w:rsidRPr="001060EA">
        <w:rPr>
          <w:rStyle w:val="FootnoteReference"/>
          <w:rFonts w:cstheme="minorHAnsi"/>
          <w:color w:val="000000"/>
          <w:sz w:val="24"/>
          <w:szCs w:val="24"/>
          <w:lang w:val="en-GB"/>
        </w:rPr>
        <w:footnoteReference w:id="6"/>
      </w:r>
      <w:r w:rsidRPr="001060EA">
        <w:rPr>
          <w:rFonts w:cstheme="minorHAnsi"/>
          <w:color w:val="000000"/>
          <w:sz w:val="24"/>
          <w:szCs w:val="24"/>
          <w:lang w:val="en-GB"/>
        </w:rPr>
        <w:t xml:space="preserve">  </w:t>
      </w:r>
    </w:p>
    <w:p w:rsidR="001060EA" w:rsidRPr="001060EA" w:rsidRDefault="001060EA" w:rsidP="001060EA">
      <w:pPr>
        <w:ind w:left="720"/>
        <w:rPr>
          <w:rFonts w:cstheme="minorHAnsi"/>
          <w:b/>
          <w:sz w:val="24"/>
          <w:szCs w:val="24"/>
        </w:rPr>
      </w:pPr>
      <w:r w:rsidRPr="001060EA">
        <w:rPr>
          <w:rFonts w:cstheme="minorHAnsi"/>
          <w:color w:val="000000"/>
          <w:sz w:val="24"/>
          <w:szCs w:val="24"/>
          <w:lang w:val="en-GB"/>
        </w:rPr>
        <w:t xml:space="preserve">In addition, see </w:t>
      </w:r>
      <w:r w:rsidRPr="001060EA">
        <w:rPr>
          <w:rFonts w:cstheme="minorHAnsi"/>
          <w:i/>
          <w:color w:val="000000"/>
          <w:sz w:val="24"/>
          <w:szCs w:val="24"/>
          <w:lang w:val="en-GB"/>
        </w:rPr>
        <w:t>K.W</w:t>
      </w:r>
      <w:r w:rsidRPr="001060EA">
        <w:rPr>
          <w:rStyle w:val="Emphasis"/>
          <w:rFonts w:cstheme="minorHAnsi"/>
          <w:color w:val="000000"/>
          <w:sz w:val="24"/>
          <w:szCs w:val="24"/>
          <w:lang w:val="en-GB"/>
        </w:rPr>
        <w:t>. ex rel. D.W. v. Armstrong</w:t>
      </w:r>
      <w:r w:rsidRPr="001060EA">
        <w:rPr>
          <w:rFonts w:cstheme="minorHAnsi"/>
          <w:color w:val="000000"/>
          <w:sz w:val="24"/>
          <w:szCs w:val="24"/>
          <w:lang w:val="en-GB"/>
        </w:rPr>
        <w:t xml:space="preserve">, No. 1:12-cv-22, 2012 WL 3201172 (D. Idaho Aug. 2, 2012) (requiring notice of change in Medicaid home and community waiver services to include brief statement explaining changes in assigned budget amount); </w:t>
      </w:r>
      <w:r w:rsidRPr="001060EA">
        <w:rPr>
          <w:rStyle w:val="Emphasis"/>
          <w:rFonts w:cstheme="minorHAnsi"/>
          <w:color w:val="000000"/>
          <w:sz w:val="24"/>
          <w:szCs w:val="24"/>
          <w:lang w:val="en-GB"/>
        </w:rPr>
        <w:t xml:space="preserve">Oster v. </w:t>
      </w:r>
      <w:proofErr w:type="spellStart"/>
      <w:r w:rsidRPr="001060EA">
        <w:rPr>
          <w:rStyle w:val="Emphasis"/>
          <w:rFonts w:cstheme="minorHAnsi"/>
          <w:color w:val="000000"/>
          <w:sz w:val="24"/>
          <w:szCs w:val="24"/>
          <w:lang w:val="en-GB"/>
        </w:rPr>
        <w:t>Lightbourne</w:t>
      </w:r>
      <w:proofErr w:type="spellEnd"/>
      <w:r w:rsidRPr="001060EA">
        <w:rPr>
          <w:rFonts w:cstheme="minorHAnsi"/>
          <w:color w:val="000000"/>
          <w:sz w:val="24"/>
          <w:szCs w:val="24"/>
          <w:lang w:val="en-GB"/>
        </w:rPr>
        <w:t xml:space="preserve">, 2012 WL 691833 (N.D. Cal. March 2, 2012) (preliminary injunction) (finding notices of reductions insufficient because, among other things, they did not inform recipients of the role of functional rankings in determining the level of in-home services or inform recipients who have visual and cognitive disabilities, read at a low reading level, nor were they linguistically diverse), </w:t>
      </w:r>
      <w:r w:rsidRPr="001060EA">
        <w:rPr>
          <w:rStyle w:val="Emphasis"/>
          <w:rFonts w:cstheme="minorHAnsi"/>
          <w:color w:val="000000"/>
          <w:sz w:val="24"/>
          <w:szCs w:val="24"/>
          <w:lang w:val="en-GB"/>
        </w:rPr>
        <w:t>same case</w:t>
      </w:r>
      <w:r w:rsidRPr="001060EA">
        <w:rPr>
          <w:rFonts w:cstheme="minorHAnsi"/>
          <w:color w:val="000000"/>
          <w:sz w:val="24"/>
          <w:szCs w:val="24"/>
          <w:lang w:val="en-GB"/>
        </w:rPr>
        <w:t xml:space="preserve">, </w:t>
      </w:r>
      <w:r w:rsidRPr="001060EA">
        <w:rPr>
          <w:rStyle w:val="Emphasis"/>
          <w:rFonts w:cstheme="minorHAnsi"/>
          <w:color w:val="000000"/>
          <w:sz w:val="24"/>
          <w:szCs w:val="24"/>
          <w:lang w:val="en-GB"/>
        </w:rPr>
        <w:t>V.L. v. Wagner</w:t>
      </w:r>
      <w:r w:rsidRPr="001060EA">
        <w:rPr>
          <w:rFonts w:cstheme="minorHAnsi"/>
          <w:color w:val="000000"/>
          <w:sz w:val="24"/>
          <w:szCs w:val="24"/>
          <w:lang w:val="en-GB"/>
        </w:rPr>
        <w:t xml:space="preserve">, 669 F. Supp. 2d 1106 (N.D. Cal. 2009) (preliminary injunction) (finding notices were deficient and difficult to read). </w:t>
      </w:r>
    </w:p>
    <w:p w:rsidR="001060EA" w:rsidRPr="001060EA" w:rsidRDefault="001060EA" w:rsidP="001060EA">
      <w:pPr>
        <w:ind w:left="720" w:hanging="720"/>
        <w:rPr>
          <w:rFonts w:cstheme="minorHAnsi"/>
          <w:sz w:val="24"/>
          <w:szCs w:val="24"/>
        </w:rPr>
      </w:pPr>
      <w:r w:rsidRPr="001060EA">
        <w:rPr>
          <w:rFonts w:cstheme="minorHAnsi"/>
          <w:b/>
          <w:sz w:val="24"/>
          <w:szCs w:val="24"/>
        </w:rPr>
        <w:t>Q6:</w:t>
      </w:r>
      <w:r w:rsidRPr="001060EA">
        <w:rPr>
          <w:rFonts w:cstheme="minorHAnsi"/>
          <w:b/>
          <w:sz w:val="24"/>
          <w:szCs w:val="24"/>
        </w:rPr>
        <w:tab/>
      </w:r>
      <w:r w:rsidRPr="001060EA">
        <w:rPr>
          <w:rFonts w:cstheme="minorHAnsi"/>
          <w:sz w:val="24"/>
          <w:szCs w:val="24"/>
        </w:rPr>
        <w:t xml:space="preserve">We have had difficulty raising claims of ineffective notice in administrative hearings.  In response to our arguments, administrative law judges have disregarded claims regarding inadequacy of notice on the grounds that our clients were able to request a hearing, so there is no harm to the client. We would like a remedy that voids the action and requires the agency to start the hearing again. Are there cases supporting this argument?    </w:t>
      </w:r>
    </w:p>
    <w:p w:rsidR="001060EA" w:rsidRPr="001060EA" w:rsidRDefault="001060EA" w:rsidP="001060EA">
      <w:pPr>
        <w:ind w:left="720" w:hanging="720"/>
        <w:rPr>
          <w:rFonts w:cstheme="minorHAnsi"/>
          <w:sz w:val="24"/>
          <w:szCs w:val="24"/>
        </w:rPr>
      </w:pPr>
      <w:r w:rsidRPr="001060EA">
        <w:rPr>
          <w:rFonts w:cstheme="minorHAnsi"/>
          <w:b/>
          <w:sz w:val="24"/>
          <w:szCs w:val="24"/>
        </w:rPr>
        <w:t>A:</w:t>
      </w:r>
      <w:r w:rsidRPr="001060EA">
        <w:rPr>
          <w:rFonts w:cstheme="minorHAnsi"/>
          <w:b/>
          <w:sz w:val="24"/>
          <w:szCs w:val="24"/>
        </w:rPr>
        <w:tab/>
      </w:r>
      <w:r w:rsidRPr="001060EA">
        <w:rPr>
          <w:rFonts w:cstheme="minorHAnsi"/>
          <w:sz w:val="24"/>
          <w:szCs w:val="24"/>
        </w:rPr>
        <w:t xml:space="preserve">There is authority to support your argument, but also cases supporting the opposite position.  One significant supporting case is </w:t>
      </w:r>
      <w:r w:rsidRPr="001060EA">
        <w:rPr>
          <w:rFonts w:cstheme="minorHAnsi"/>
          <w:i/>
          <w:sz w:val="24"/>
          <w:szCs w:val="24"/>
        </w:rPr>
        <w:t xml:space="preserve">Ortiz v. </w:t>
      </w:r>
      <w:proofErr w:type="spellStart"/>
      <w:r w:rsidRPr="001060EA">
        <w:rPr>
          <w:rFonts w:cstheme="minorHAnsi"/>
          <w:i/>
          <w:sz w:val="24"/>
          <w:szCs w:val="24"/>
        </w:rPr>
        <w:t>Eichler</w:t>
      </w:r>
      <w:proofErr w:type="spellEnd"/>
      <w:r w:rsidRPr="001060EA">
        <w:rPr>
          <w:rFonts w:cstheme="minorHAnsi"/>
          <w:sz w:val="24"/>
          <w:szCs w:val="24"/>
        </w:rPr>
        <w:t xml:space="preserve">, in which the court found the agency’s termination and denial notices did not satisfy due process.  The court also rejected the defendants’ argument that plaintiffs’ claims should be disregarded because they did not show that the agency decision was actually wrong.  It stated that </w:t>
      </w:r>
    </w:p>
    <w:p w:rsidR="001060EA" w:rsidRPr="001060EA" w:rsidRDefault="001060EA" w:rsidP="001060EA">
      <w:pPr>
        <w:tabs>
          <w:tab w:val="left" w:pos="1080"/>
        </w:tabs>
        <w:ind w:left="1080"/>
        <w:rPr>
          <w:rFonts w:cstheme="minorHAnsi"/>
          <w:sz w:val="24"/>
          <w:szCs w:val="24"/>
        </w:rPr>
      </w:pPr>
      <w:proofErr w:type="gramStart"/>
      <w:r w:rsidRPr="001060EA">
        <w:rPr>
          <w:rFonts w:cstheme="minorHAnsi"/>
          <w:sz w:val="24"/>
          <w:szCs w:val="24"/>
        </w:rPr>
        <w:t>type</w:t>
      </w:r>
      <w:proofErr w:type="gramEnd"/>
      <w:r w:rsidRPr="001060EA">
        <w:rPr>
          <w:rFonts w:cstheme="minorHAnsi"/>
          <w:sz w:val="24"/>
          <w:szCs w:val="24"/>
        </w:rPr>
        <w:t xml:space="preserve"> of “harmless error” argument, is without merit in this context. Plaintiffs are not seeking to </w:t>
      </w:r>
      <w:proofErr w:type="spellStart"/>
      <w:r w:rsidRPr="001060EA">
        <w:rPr>
          <w:rFonts w:cstheme="minorHAnsi"/>
          <w:sz w:val="24"/>
          <w:szCs w:val="24"/>
        </w:rPr>
        <w:t>relitigate</w:t>
      </w:r>
      <w:proofErr w:type="spellEnd"/>
      <w:r w:rsidRPr="001060EA">
        <w:rPr>
          <w:rFonts w:cstheme="minorHAnsi"/>
          <w:sz w:val="24"/>
          <w:szCs w:val="24"/>
        </w:rPr>
        <w:t xml:space="preserve"> each illustrative case, and it is irrelevant that adequate grounds may have existed in individual cases to reach the same decision. The point is that defendants regularly follow a practice that is </w:t>
      </w:r>
      <w:r w:rsidRPr="001060EA">
        <w:rPr>
          <w:rFonts w:cstheme="minorHAnsi"/>
          <w:sz w:val="24"/>
          <w:szCs w:val="24"/>
        </w:rPr>
        <w:lastRenderedPageBreak/>
        <w:t>inconsistent with plaintiffs' due process rights. Fundamental due process requires that a person be informed in advance of the issues to be addressed at a hearing, so that he or she can be prepared to present evidence and arguments that address those issues.</w:t>
      </w:r>
      <w:r w:rsidRPr="001060EA">
        <w:rPr>
          <w:rStyle w:val="FootnoteReference"/>
          <w:rFonts w:cstheme="minorHAnsi"/>
          <w:sz w:val="24"/>
          <w:szCs w:val="24"/>
        </w:rPr>
        <w:footnoteReference w:id="7"/>
      </w:r>
      <w:r w:rsidRPr="001060EA">
        <w:rPr>
          <w:rFonts w:cstheme="minorHAnsi"/>
          <w:sz w:val="24"/>
          <w:szCs w:val="24"/>
        </w:rPr>
        <w:t xml:space="preserve">     </w:t>
      </w:r>
    </w:p>
    <w:p w:rsidR="001060EA" w:rsidRPr="001060EA" w:rsidRDefault="001060EA" w:rsidP="001060EA">
      <w:pPr>
        <w:ind w:left="720" w:hanging="720"/>
        <w:rPr>
          <w:rFonts w:cstheme="minorHAnsi"/>
          <w:b/>
          <w:sz w:val="24"/>
          <w:szCs w:val="24"/>
        </w:rPr>
      </w:pPr>
      <w:r w:rsidRPr="001060EA">
        <w:rPr>
          <w:rFonts w:cstheme="minorHAnsi"/>
          <w:sz w:val="24"/>
          <w:szCs w:val="24"/>
        </w:rPr>
        <w:tab/>
        <w:t xml:space="preserve">On the other hand, there are a number of decisions holding that, if no prejudice to the claimant is shown, there is no due process violation.  </w:t>
      </w:r>
      <w:r w:rsidRPr="001060EA">
        <w:rPr>
          <w:rStyle w:val="Emphasis"/>
          <w:rFonts w:cstheme="minorHAnsi"/>
          <w:color w:val="000000"/>
          <w:sz w:val="24"/>
          <w:szCs w:val="24"/>
          <w:lang w:val="en-GB"/>
        </w:rPr>
        <w:t xml:space="preserve">See </w:t>
      </w:r>
      <w:proofErr w:type="spellStart"/>
      <w:r w:rsidRPr="001060EA">
        <w:rPr>
          <w:rStyle w:val="Emphasis"/>
          <w:rFonts w:cstheme="minorHAnsi"/>
          <w:color w:val="000000"/>
          <w:sz w:val="24"/>
          <w:szCs w:val="24"/>
          <w:lang w:val="en-GB"/>
        </w:rPr>
        <w:t>Mundell</w:t>
      </w:r>
      <w:proofErr w:type="spellEnd"/>
      <w:r w:rsidRPr="001060EA">
        <w:rPr>
          <w:rStyle w:val="Emphasis"/>
          <w:rFonts w:cstheme="minorHAnsi"/>
          <w:color w:val="000000"/>
          <w:sz w:val="24"/>
          <w:szCs w:val="24"/>
          <w:lang w:val="en-GB"/>
        </w:rPr>
        <w:t xml:space="preserve"> v. Bd. of </w:t>
      </w:r>
      <w:proofErr w:type="spellStart"/>
      <w:r w:rsidRPr="001060EA">
        <w:rPr>
          <w:rStyle w:val="Emphasis"/>
          <w:rFonts w:cstheme="minorHAnsi"/>
          <w:color w:val="000000"/>
          <w:sz w:val="24"/>
          <w:szCs w:val="24"/>
          <w:lang w:val="en-GB"/>
        </w:rPr>
        <w:t>Cnty</w:t>
      </w:r>
      <w:proofErr w:type="spellEnd"/>
      <w:r w:rsidRPr="001060EA">
        <w:rPr>
          <w:rStyle w:val="Emphasis"/>
          <w:rFonts w:cstheme="minorHAnsi"/>
          <w:color w:val="000000"/>
          <w:sz w:val="24"/>
          <w:szCs w:val="24"/>
          <w:lang w:val="en-GB"/>
        </w:rPr>
        <w:t xml:space="preserve">. </w:t>
      </w:r>
      <w:proofErr w:type="spellStart"/>
      <w:r w:rsidRPr="001060EA">
        <w:rPr>
          <w:rStyle w:val="Emphasis"/>
          <w:rFonts w:cstheme="minorHAnsi"/>
          <w:color w:val="000000"/>
          <w:sz w:val="24"/>
          <w:szCs w:val="24"/>
          <w:lang w:val="en-GB"/>
        </w:rPr>
        <w:t>Comm’rs</w:t>
      </w:r>
      <w:proofErr w:type="spellEnd"/>
      <w:r w:rsidRPr="001060EA">
        <w:rPr>
          <w:rFonts w:cstheme="minorHAnsi"/>
          <w:color w:val="000000"/>
          <w:sz w:val="24"/>
          <w:szCs w:val="24"/>
          <w:lang w:val="en-GB"/>
        </w:rPr>
        <w:t xml:space="preserve">, No. 05-cv-00585, 2007 WL 128805 (D. Colo. Jan. 12, 2007) (finding no violation where plaintiff did not show prejudice as result of insufficient notice); </w:t>
      </w:r>
      <w:proofErr w:type="spellStart"/>
      <w:r w:rsidRPr="001060EA">
        <w:rPr>
          <w:rStyle w:val="Emphasis"/>
          <w:rFonts w:cstheme="minorHAnsi"/>
          <w:color w:val="000000"/>
          <w:sz w:val="24"/>
          <w:szCs w:val="24"/>
          <w:lang w:val="en-GB"/>
        </w:rPr>
        <w:t>Bonville</w:t>
      </w:r>
      <w:proofErr w:type="spellEnd"/>
      <w:r w:rsidRPr="001060EA">
        <w:rPr>
          <w:rStyle w:val="Emphasis"/>
          <w:rFonts w:cstheme="minorHAnsi"/>
          <w:color w:val="000000"/>
          <w:sz w:val="24"/>
          <w:szCs w:val="24"/>
          <w:lang w:val="en-GB"/>
        </w:rPr>
        <w:t xml:space="preserve"> v. Dep’t of Human </w:t>
      </w:r>
      <w:proofErr w:type="spellStart"/>
      <w:r w:rsidRPr="001060EA">
        <w:rPr>
          <w:rStyle w:val="Emphasis"/>
          <w:rFonts w:cstheme="minorHAnsi"/>
          <w:color w:val="000000"/>
          <w:sz w:val="24"/>
          <w:szCs w:val="24"/>
          <w:lang w:val="en-GB"/>
        </w:rPr>
        <w:t>Servs</w:t>
      </w:r>
      <w:proofErr w:type="spellEnd"/>
      <w:r w:rsidRPr="001060EA">
        <w:rPr>
          <w:rStyle w:val="Emphasis"/>
          <w:rFonts w:cstheme="minorHAnsi"/>
          <w:color w:val="000000"/>
          <w:sz w:val="24"/>
          <w:szCs w:val="24"/>
          <w:lang w:val="en-GB"/>
        </w:rPr>
        <w:t>.</w:t>
      </w:r>
      <w:r w:rsidRPr="001060EA">
        <w:rPr>
          <w:rFonts w:cstheme="minorHAnsi"/>
          <w:color w:val="000000"/>
          <w:sz w:val="24"/>
          <w:szCs w:val="24"/>
          <w:lang w:val="en-GB"/>
        </w:rPr>
        <w:t xml:space="preserve">, No. </w:t>
      </w:r>
      <w:proofErr w:type="gramStart"/>
      <w:r w:rsidRPr="001060EA">
        <w:rPr>
          <w:rFonts w:cstheme="minorHAnsi"/>
          <w:color w:val="000000"/>
          <w:sz w:val="24"/>
          <w:szCs w:val="24"/>
          <w:lang w:val="en-GB"/>
        </w:rPr>
        <w:t>AP-01-074, 2002 WL 31367230 (Me. Super.</w:t>
      </w:r>
      <w:proofErr w:type="gramEnd"/>
      <w:r w:rsidRPr="001060EA">
        <w:rPr>
          <w:rFonts w:cstheme="minorHAnsi"/>
          <w:color w:val="000000"/>
          <w:sz w:val="24"/>
          <w:szCs w:val="24"/>
          <w:lang w:val="en-GB"/>
        </w:rPr>
        <w:t xml:space="preserve"> Ct. Sept. 11, 2002) (same); </w:t>
      </w:r>
      <w:r w:rsidRPr="001060EA">
        <w:rPr>
          <w:rStyle w:val="Emphasis"/>
          <w:rFonts w:cstheme="minorHAnsi"/>
          <w:color w:val="000000"/>
          <w:sz w:val="24"/>
          <w:szCs w:val="24"/>
          <w:lang w:val="en-GB"/>
        </w:rPr>
        <w:t xml:space="preserve">Hopkins v. Dep’t of Human </w:t>
      </w:r>
      <w:proofErr w:type="spellStart"/>
      <w:r w:rsidRPr="001060EA">
        <w:rPr>
          <w:rStyle w:val="Emphasis"/>
          <w:rFonts w:cstheme="minorHAnsi"/>
          <w:color w:val="000000"/>
          <w:sz w:val="24"/>
          <w:szCs w:val="24"/>
          <w:lang w:val="en-GB"/>
        </w:rPr>
        <w:t>Servs</w:t>
      </w:r>
      <w:proofErr w:type="spellEnd"/>
      <w:r w:rsidRPr="001060EA">
        <w:rPr>
          <w:rStyle w:val="Emphasis"/>
          <w:rFonts w:cstheme="minorHAnsi"/>
          <w:color w:val="000000"/>
          <w:sz w:val="24"/>
          <w:szCs w:val="24"/>
          <w:lang w:val="en-GB"/>
        </w:rPr>
        <w:t>.</w:t>
      </w:r>
      <w:r w:rsidRPr="001060EA">
        <w:rPr>
          <w:rFonts w:cstheme="minorHAnsi"/>
          <w:color w:val="000000"/>
          <w:sz w:val="24"/>
          <w:szCs w:val="24"/>
          <w:lang w:val="en-GB"/>
        </w:rPr>
        <w:t>, 802 A.2d 999 (Me. 2002) (same);</w:t>
      </w:r>
      <w:r w:rsidRPr="001060EA">
        <w:rPr>
          <w:rStyle w:val="Emphasis"/>
          <w:rFonts w:cstheme="minorHAnsi"/>
          <w:color w:val="000000"/>
          <w:sz w:val="24"/>
          <w:szCs w:val="24"/>
          <w:lang w:val="en-GB"/>
        </w:rPr>
        <w:t xml:space="preserve"> Kocher v. Dep’t of Health &amp; Soc. </w:t>
      </w:r>
      <w:proofErr w:type="spellStart"/>
      <w:r w:rsidRPr="001060EA">
        <w:rPr>
          <w:rStyle w:val="Emphasis"/>
          <w:rFonts w:cstheme="minorHAnsi"/>
          <w:color w:val="000000"/>
          <w:sz w:val="24"/>
          <w:szCs w:val="24"/>
          <w:lang w:val="en-GB"/>
        </w:rPr>
        <w:t>Servs</w:t>
      </w:r>
      <w:proofErr w:type="spellEnd"/>
      <w:r w:rsidRPr="001060EA">
        <w:rPr>
          <w:rStyle w:val="Emphasis"/>
          <w:rFonts w:cstheme="minorHAnsi"/>
          <w:color w:val="000000"/>
          <w:sz w:val="24"/>
          <w:szCs w:val="24"/>
          <w:lang w:val="en-GB"/>
        </w:rPr>
        <w:t>.</w:t>
      </w:r>
      <w:r w:rsidRPr="001060EA">
        <w:rPr>
          <w:rFonts w:cstheme="minorHAnsi"/>
          <w:color w:val="000000"/>
          <w:sz w:val="24"/>
          <w:szCs w:val="24"/>
          <w:lang w:val="en-GB"/>
        </w:rPr>
        <w:t>, 448 N.W.2d 8 (Wis. Ct. App. 1989) (finding no prejudice from failure to notify where claimant’s counsel had already requested hearing).</w:t>
      </w:r>
      <w:r w:rsidRPr="001060EA">
        <w:rPr>
          <w:rFonts w:cstheme="minorHAnsi"/>
          <w:sz w:val="24"/>
          <w:szCs w:val="24"/>
        </w:rPr>
        <w:t xml:space="preserve"> </w:t>
      </w:r>
    </w:p>
    <w:p w:rsidR="001060EA" w:rsidRPr="001060EA" w:rsidRDefault="001060EA" w:rsidP="001060EA">
      <w:pPr>
        <w:ind w:left="720" w:hanging="720"/>
        <w:rPr>
          <w:rFonts w:cstheme="minorHAnsi"/>
          <w:sz w:val="24"/>
          <w:szCs w:val="24"/>
        </w:rPr>
      </w:pPr>
      <w:r w:rsidRPr="001060EA">
        <w:rPr>
          <w:rFonts w:cstheme="minorHAnsi"/>
          <w:b/>
          <w:sz w:val="24"/>
          <w:szCs w:val="24"/>
        </w:rPr>
        <w:t>Q7:</w:t>
      </w:r>
      <w:r w:rsidRPr="001060EA">
        <w:rPr>
          <w:rFonts w:cstheme="minorHAnsi"/>
          <w:b/>
          <w:sz w:val="24"/>
          <w:szCs w:val="24"/>
        </w:rPr>
        <w:tab/>
      </w:r>
      <w:r w:rsidRPr="001060EA">
        <w:rPr>
          <w:rFonts w:cstheme="minorHAnsi"/>
          <w:sz w:val="24"/>
          <w:szCs w:val="24"/>
        </w:rPr>
        <w:t>Can you list the significant Medicaid due process cases that you discussed during the webinar?</w:t>
      </w:r>
    </w:p>
    <w:p w:rsidR="001060EA" w:rsidRPr="001060EA" w:rsidRDefault="001060EA" w:rsidP="001060EA">
      <w:pPr>
        <w:ind w:left="720" w:hanging="720"/>
        <w:rPr>
          <w:rFonts w:cstheme="minorHAnsi"/>
          <w:sz w:val="24"/>
          <w:szCs w:val="24"/>
        </w:rPr>
      </w:pPr>
      <w:r w:rsidRPr="001060EA">
        <w:rPr>
          <w:rFonts w:cstheme="minorHAnsi"/>
          <w:b/>
          <w:sz w:val="24"/>
          <w:szCs w:val="24"/>
        </w:rPr>
        <w:t>A:</w:t>
      </w:r>
      <w:r w:rsidRPr="001060EA">
        <w:rPr>
          <w:rFonts w:cstheme="minorHAnsi"/>
          <w:sz w:val="24"/>
          <w:szCs w:val="24"/>
        </w:rPr>
        <w:tab/>
      </w:r>
    </w:p>
    <w:p w:rsidR="001060EA" w:rsidRPr="001060EA" w:rsidRDefault="001060EA" w:rsidP="001060EA">
      <w:pPr>
        <w:ind w:left="720" w:hanging="720"/>
        <w:rPr>
          <w:rFonts w:cstheme="minorHAnsi"/>
          <w:sz w:val="24"/>
          <w:szCs w:val="24"/>
        </w:rPr>
      </w:pPr>
      <w:r w:rsidRPr="001060EA">
        <w:rPr>
          <w:rFonts w:cstheme="minorHAnsi"/>
          <w:b/>
          <w:i/>
          <w:sz w:val="24"/>
          <w:szCs w:val="24"/>
        </w:rPr>
        <w:t>Private enforcement of Medicaid due process requirements</w:t>
      </w:r>
    </w:p>
    <w:p w:rsidR="001060EA" w:rsidRPr="001060EA" w:rsidRDefault="001060EA" w:rsidP="001060EA">
      <w:pPr>
        <w:rPr>
          <w:rFonts w:cstheme="minorHAnsi"/>
          <w:sz w:val="24"/>
          <w:szCs w:val="24"/>
        </w:rPr>
      </w:pPr>
      <w:proofErr w:type="spellStart"/>
      <w:proofErr w:type="gramStart"/>
      <w:r w:rsidRPr="001060EA">
        <w:rPr>
          <w:rFonts w:cstheme="minorHAnsi"/>
          <w:i/>
          <w:sz w:val="24"/>
          <w:szCs w:val="24"/>
        </w:rPr>
        <w:t>Shaknes</w:t>
      </w:r>
      <w:proofErr w:type="spellEnd"/>
      <w:r w:rsidRPr="001060EA">
        <w:rPr>
          <w:rFonts w:cstheme="minorHAnsi"/>
          <w:i/>
          <w:sz w:val="24"/>
          <w:szCs w:val="24"/>
        </w:rPr>
        <w:t xml:space="preserve"> v. Berlin, </w:t>
      </w:r>
      <w:r w:rsidRPr="001060EA">
        <w:rPr>
          <w:rFonts w:cstheme="minorHAnsi"/>
          <w:sz w:val="24"/>
          <w:szCs w:val="24"/>
        </w:rPr>
        <w:t xml:space="preserve">689 F.3d 244 (2d Cir. 2012), </w:t>
      </w:r>
      <w:r w:rsidRPr="001060EA">
        <w:rPr>
          <w:rFonts w:cstheme="minorHAnsi"/>
          <w:i/>
          <w:sz w:val="24"/>
          <w:szCs w:val="24"/>
        </w:rPr>
        <w:t>cert den.</w:t>
      </w:r>
      <w:proofErr w:type="gramEnd"/>
      <w:r w:rsidRPr="001060EA">
        <w:rPr>
          <w:rFonts w:cstheme="minorHAnsi"/>
          <w:i/>
          <w:sz w:val="24"/>
          <w:szCs w:val="24"/>
        </w:rPr>
        <w:t xml:space="preserve"> Proud v. </w:t>
      </w:r>
      <w:proofErr w:type="spellStart"/>
      <w:r w:rsidRPr="001060EA">
        <w:rPr>
          <w:rFonts w:cstheme="minorHAnsi"/>
          <w:i/>
          <w:sz w:val="24"/>
          <w:szCs w:val="24"/>
        </w:rPr>
        <w:t>Shakhnes</w:t>
      </w:r>
      <w:proofErr w:type="spellEnd"/>
      <w:r w:rsidRPr="001060EA">
        <w:rPr>
          <w:rFonts w:cstheme="minorHAnsi"/>
          <w:i/>
          <w:sz w:val="24"/>
          <w:szCs w:val="24"/>
        </w:rPr>
        <w:t xml:space="preserve">, </w:t>
      </w:r>
      <w:r w:rsidRPr="001060EA">
        <w:rPr>
          <w:rFonts w:cstheme="minorHAnsi"/>
          <w:sz w:val="24"/>
          <w:szCs w:val="24"/>
        </w:rPr>
        <w:t>2013 WL 171081 (2012) (finding 42 U.S.C. § 1396a(a)(3), the Medicaid fair hearing provision, creates privately enforceable right to decision within 90 days of the hearing request).</w:t>
      </w:r>
    </w:p>
    <w:p w:rsidR="001060EA" w:rsidRPr="001060EA" w:rsidRDefault="001060EA" w:rsidP="001060EA">
      <w:pPr>
        <w:rPr>
          <w:rFonts w:cstheme="minorHAnsi"/>
          <w:sz w:val="24"/>
          <w:szCs w:val="24"/>
        </w:rPr>
      </w:pPr>
      <w:r w:rsidRPr="001060EA">
        <w:rPr>
          <w:rFonts w:cstheme="minorHAnsi"/>
          <w:i/>
          <w:sz w:val="24"/>
          <w:szCs w:val="24"/>
        </w:rPr>
        <w:t xml:space="preserve">Romano v. Greenstein, </w:t>
      </w:r>
      <w:r w:rsidRPr="001060EA">
        <w:rPr>
          <w:rFonts w:cstheme="minorHAnsi"/>
          <w:sz w:val="24"/>
          <w:szCs w:val="24"/>
        </w:rPr>
        <w:t>2012 WL 1745526 (E.D. La. May 16, 2012) (finding statute enforceable)</w:t>
      </w:r>
    </w:p>
    <w:p w:rsidR="001060EA" w:rsidRPr="001060EA" w:rsidRDefault="001060EA" w:rsidP="001060EA">
      <w:pPr>
        <w:rPr>
          <w:rFonts w:cstheme="minorHAnsi"/>
          <w:sz w:val="24"/>
          <w:szCs w:val="24"/>
        </w:rPr>
      </w:pPr>
      <w:proofErr w:type="spellStart"/>
      <w:proofErr w:type="gramStart"/>
      <w:r w:rsidRPr="001060EA">
        <w:rPr>
          <w:rFonts w:cstheme="minorHAnsi"/>
          <w:i/>
          <w:sz w:val="24"/>
          <w:szCs w:val="24"/>
        </w:rPr>
        <w:t>Detgen</w:t>
      </w:r>
      <w:proofErr w:type="spellEnd"/>
      <w:r w:rsidRPr="001060EA">
        <w:rPr>
          <w:rFonts w:cstheme="minorHAnsi"/>
          <w:i/>
          <w:sz w:val="24"/>
          <w:szCs w:val="24"/>
        </w:rPr>
        <w:t xml:space="preserve"> v. </w:t>
      </w:r>
      <w:proofErr w:type="spellStart"/>
      <w:r w:rsidRPr="001060EA">
        <w:rPr>
          <w:rFonts w:cstheme="minorHAnsi"/>
          <w:i/>
          <w:sz w:val="24"/>
          <w:szCs w:val="24"/>
        </w:rPr>
        <w:t>Janek</w:t>
      </w:r>
      <w:proofErr w:type="spellEnd"/>
      <w:r w:rsidRPr="001060EA">
        <w:rPr>
          <w:rFonts w:cstheme="minorHAnsi"/>
          <w:i/>
          <w:sz w:val="24"/>
          <w:szCs w:val="24"/>
        </w:rPr>
        <w:t xml:space="preserve">, </w:t>
      </w:r>
      <w:r w:rsidRPr="001060EA">
        <w:rPr>
          <w:rFonts w:cstheme="minorHAnsi"/>
          <w:sz w:val="24"/>
          <w:szCs w:val="24"/>
        </w:rPr>
        <w:t>__ Fed.</w:t>
      </w:r>
      <w:proofErr w:type="gramEnd"/>
      <w:r w:rsidRPr="001060EA">
        <w:rPr>
          <w:rFonts w:cstheme="minorHAnsi"/>
          <w:sz w:val="24"/>
          <w:szCs w:val="24"/>
        </w:rPr>
        <w:t xml:space="preserve"> Supp. 2d __, 2013 WL 961506 (N.D. Tex. March 3, 2013) (holding that there is no legitimate claim of entitlement to a service that the federal agency says is not covered, therefore claimants were not entitled to hearings for categorical denial of the service)</w:t>
      </w:r>
    </w:p>
    <w:p w:rsidR="001060EA" w:rsidRPr="001060EA" w:rsidRDefault="001060EA" w:rsidP="001060EA">
      <w:pPr>
        <w:ind w:left="720" w:hanging="720"/>
        <w:rPr>
          <w:rFonts w:cstheme="minorHAnsi"/>
          <w:sz w:val="24"/>
          <w:szCs w:val="24"/>
        </w:rPr>
      </w:pPr>
      <w:r w:rsidRPr="001060EA">
        <w:rPr>
          <w:rFonts w:cstheme="minorHAnsi"/>
          <w:b/>
          <w:i/>
          <w:sz w:val="24"/>
          <w:szCs w:val="24"/>
        </w:rPr>
        <w:t>Notice requirements</w:t>
      </w:r>
    </w:p>
    <w:p w:rsidR="001060EA" w:rsidRPr="001060EA" w:rsidRDefault="001060EA" w:rsidP="001060EA">
      <w:pPr>
        <w:tabs>
          <w:tab w:val="left" w:pos="0"/>
        </w:tabs>
        <w:rPr>
          <w:rFonts w:cstheme="minorHAnsi"/>
          <w:sz w:val="24"/>
          <w:szCs w:val="24"/>
        </w:rPr>
      </w:pPr>
      <w:r w:rsidRPr="001060EA">
        <w:rPr>
          <w:rFonts w:cstheme="minorHAnsi"/>
          <w:i/>
          <w:sz w:val="24"/>
          <w:szCs w:val="24"/>
        </w:rPr>
        <w:t xml:space="preserve">K.W. ex rel. D.W. v. Armstrong, </w:t>
      </w:r>
      <w:r w:rsidRPr="001060EA">
        <w:rPr>
          <w:rFonts w:cstheme="minorHAnsi"/>
          <w:sz w:val="24"/>
          <w:szCs w:val="24"/>
        </w:rPr>
        <w:t>2012 WL 3201172 (D. Idaho Aug. 2, 2012) (holding notices must include brief statement explaining justification for determination of budget amounts).</w:t>
      </w:r>
    </w:p>
    <w:p w:rsidR="001060EA" w:rsidRDefault="001060EA" w:rsidP="001060EA">
      <w:pPr>
        <w:tabs>
          <w:tab w:val="left" w:pos="0"/>
        </w:tabs>
        <w:rPr>
          <w:rFonts w:cstheme="minorHAnsi"/>
          <w:sz w:val="24"/>
          <w:szCs w:val="24"/>
        </w:rPr>
      </w:pPr>
      <w:r w:rsidRPr="001060EA">
        <w:rPr>
          <w:rFonts w:cstheme="minorHAnsi"/>
          <w:i/>
          <w:sz w:val="24"/>
          <w:szCs w:val="24"/>
        </w:rPr>
        <w:t>L.S. v. Delia</w:t>
      </w:r>
      <w:r w:rsidRPr="001060EA">
        <w:rPr>
          <w:rFonts w:cstheme="minorHAnsi"/>
          <w:sz w:val="24"/>
          <w:szCs w:val="24"/>
        </w:rPr>
        <w:t>, U.S. Dist. LEXIS 43882 (E.D.N.C. Mar. 29, 2012) (granting PI, holding plaintiffs likely to succeed on claim that state and MCO were engaged in “action” when reducing service budgets using needs assessment criteria).</w:t>
      </w:r>
    </w:p>
    <w:p w:rsidR="001060EA" w:rsidRPr="001060EA" w:rsidRDefault="001060EA" w:rsidP="001060EA">
      <w:pPr>
        <w:tabs>
          <w:tab w:val="left" w:pos="0"/>
        </w:tabs>
        <w:rPr>
          <w:rFonts w:cstheme="minorHAnsi"/>
          <w:sz w:val="24"/>
          <w:szCs w:val="24"/>
        </w:rPr>
      </w:pPr>
      <w:r w:rsidRPr="001060EA">
        <w:rPr>
          <w:rFonts w:cstheme="minorHAnsi"/>
          <w:i/>
          <w:sz w:val="24"/>
          <w:szCs w:val="24"/>
        </w:rPr>
        <w:lastRenderedPageBreak/>
        <w:t xml:space="preserve">Oster v. </w:t>
      </w:r>
      <w:proofErr w:type="spellStart"/>
      <w:r w:rsidRPr="001060EA">
        <w:rPr>
          <w:rFonts w:cstheme="minorHAnsi"/>
          <w:i/>
          <w:sz w:val="24"/>
          <w:szCs w:val="24"/>
        </w:rPr>
        <w:t>Lightbourne</w:t>
      </w:r>
      <w:proofErr w:type="spellEnd"/>
      <w:r w:rsidRPr="001060EA">
        <w:rPr>
          <w:rFonts w:cstheme="minorHAnsi"/>
          <w:i/>
          <w:sz w:val="24"/>
          <w:szCs w:val="24"/>
        </w:rPr>
        <w:t xml:space="preserve">, </w:t>
      </w:r>
      <w:r w:rsidRPr="001060EA">
        <w:rPr>
          <w:rFonts w:cstheme="minorHAnsi"/>
          <w:sz w:val="24"/>
          <w:szCs w:val="24"/>
        </w:rPr>
        <w:t>2012 WL 691833 (N.D. Cal. Mar. 2, 2012) (granting PI, holding plaintiffs likely to succeed on claim notices were inadequate because they did not inform application of role of functional ranks in determination of eligibility for in-home services).</w:t>
      </w:r>
    </w:p>
    <w:p w:rsidR="001060EA" w:rsidRPr="001060EA" w:rsidRDefault="001060EA" w:rsidP="001060EA">
      <w:pPr>
        <w:tabs>
          <w:tab w:val="left" w:pos="0"/>
        </w:tabs>
        <w:rPr>
          <w:rFonts w:cstheme="minorHAnsi"/>
          <w:sz w:val="24"/>
          <w:szCs w:val="24"/>
        </w:rPr>
      </w:pPr>
      <w:r w:rsidRPr="001060EA">
        <w:rPr>
          <w:rFonts w:cstheme="minorHAnsi"/>
          <w:i/>
          <w:sz w:val="24"/>
          <w:szCs w:val="24"/>
        </w:rPr>
        <w:t xml:space="preserve">Purdue v. </w:t>
      </w:r>
      <w:proofErr w:type="spellStart"/>
      <w:r w:rsidRPr="001060EA">
        <w:rPr>
          <w:rFonts w:cstheme="minorHAnsi"/>
          <w:i/>
          <w:sz w:val="24"/>
          <w:szCs w:val="24"/>
        </w:rPr>
        <w:t>Gargano</w:t>
      </w:r>
      <w:proofErr w:type="spellEnd"/>
      <w:r w:rsidRPr="001060EA">
        <w:rPr>
          <w:rFonts w:cstheme="minorHAnsi"/>
          <w:i/>
          <w:sz w:val="24"/>
          <w:szCs w:val="24"/>
        </w:rPr>
        <w:t xml:space="preserve">, </w:t>
      </w:r>
      <w:r w:rsidRPr="001060EA">
        <w:rPr>
          <w:rFonts w:cstheme="minorHAnsi"/>
          <w:sz w:val="24"/>
          <w:szCs w:val="24"/>
        </w:rPr>
        <w:t>964 N.E.2d 825 (Ind. 2012) (holding that it is a due process violation to include a code that represents reasons for a denial without explaining it).</w:t>
      </w:r>
    </w:p>
    <w:p w:rsidR="001060EA" w:rsidRPr="001060EA" w:rsidRDefault="001060EA" w:rsidP="001060EA">
      <w:pPr>
        <w:tabs>
          <w:tab w:val="left" w:pos="0"/>
        </w:tabs>
        <w:rPr>
          <w:rFonts w:cstheme="minorHAnsi"/>
          <w:sz w:val="24"/>
          <w:szCs w:val="24"/>
        </w:rPr>
      </w:pPr>
      <w:proofErr w:type="spellStart"/>
      <w:r w:rsidRPr="001060EA">
        <w:rPr>
          <w:rFonts w:cstheme="minorHAnsi"/>
          <w:i/>
          <w:sz w:val="24"/>
          <w:szCs w:val="24"/>
        </w:rPr>
        <w:t>Mocznianski</w:t>
      </w:r>
      <w:proofErr w:type="spellEnd"/>
      <w:r w:rsidRPr="001060EA">
        <w:rPr>
          <w:rFonts w:cstheme="minorHAnsi"/>
          <w:i/>
          <w:sz w:val="24"/>
          <w:szCs w:val="24"/>
        </w:rPr>
        <w:t xml:space="preserve"> v. Ohio Dep’t of Jobs &amp; Fam. </w:t>
      </w:r>
      <w:proofErr w:type="spellStart"/>
      <w:r w:rsidRPr="001060EA">
        <w:rPr>
          <w:rFonts w:cstheme="minorHAnsi"/>
          <w:i/>
          <w:sz w:val="24"/>
          <w:szCs w:val="24"/>
        </w:rPr>
        <w:t>Servs</w:t>
      </w:r>
      <w:proofErr w:type="spellEnd"/>
      <w:r w:rsidRPr="001060EA">
        <w:rPr>
          <w:rFonts w:cstheme="minorHAnsi"/>
          <w:i/>
          <w:sz w:val="24"/>
          <w:szCs w:val="24"/>
        </w:rPr>
        <w:t xml:space="preserve">., </w:t>
      </w:r>
      <w:r w:rsidRPr="001060EA">
        <w:rPr>
          <w:rFonts w:cstheme="minorHAnsi"/>
          <w:sz w:val="24"/>
          <w:szCs w:val="24"/>
        </w:rPr>
        <w:t>960 N.E.2d 522 (Ohio Ct. App. 2011) (holding that it is “simply unimaginable” that scoring for HCBW eligibility would not be released to claimants who are being denied as a result of that scoring).</w:t>
      </w:r>
    </w:p>
    <w:p w:rsidR="001060EA" w:rsidRPr="001060EA" w:rsidRDefault="001060EA" w:rsidP="001060EA">
      <w:pPr>
        <w:tabs>
          <w:tab w:val="left" w:pos="0"/>
        </w:tabs>
        <w:rPr>
          <w:rFonts w:cstheme="minorHAnsi"/>
          <w:sz w:val="24"/>
          <w:szCs w:val="24"/>
        </w:rPr>
      </w:pPr>
      <w:r w:rsidRPr="001060EA">
        <w:rPr>
          <w:rFonts w:cstheme="minorHAnsi"/>
          <w:b/>
          <w:i/>
          <w:sz w:val="24"/>
          <w:szCs w:val="24"/>
        </w:rPr>
        <w:t>Requirements governing mass changes</w:t>
      </w:r>
    </w:p>
    <w:p w:rsidR="001060EA" w:rsidRPr="001060EA" w:rsidRDefault="001060EA" w:rsidP="001060EA">
      <w:pPr>
        <w:tabs>
          <w:tab w:val="left" w:pos="0"/>
        </w:tabs>
        <w:rPr>
          <w:rFonts w:cstheme="minorHAnsi"/>
          <w:sz w:val="24"/>
          <w:szCs w:val="24"/>
        </w:rPr>
      </w:pPr>
      <w:proofErr w:type="spellStart"/>
      <w:r w:rsidRPr="001060EA">
        <w:rPr>
          <w:rFonts w:cstheme="minorHAnsi"/>
          <w:i/>
          <w:iCs/>
          <w:sz w:val="24"/>
          <w:szCs w:val="24"/>
        </w:rPr>
        <w:t>Pashby</w:t>
      </w:r>
      <w:proofErr w:type="spellEnd"/>
      <w:r w:rsidRPr="001060EA">
        <w:rPr>
          <w:rFonts w:cstheme="minorHAnsi"/>
          <w:i/>
          <w:iCs/>
          <w:sz w:val="24"/>
          <w:szCs w:val="24"/>
        </w:rPr>
        <w:t xml:space="preserve"> v. Delia, </w:t>
      </w:r>
      <w:r w:rsidRPr="001060EA">
        <w:rPr>
          <w:rFonts w:cstheme="minorHAnsi"/>
          <w:sz w:val="24"/>
          <w:szCs w:val="24"/>
        </w:rPr>
        <w:t>709 F.3d 307 (4th Cir. 2013) (notice provided as a result of a mass change did not need to give individualized reasons why PCS being reduced, when the notice contained adequate detail about how to request a hearing).</w:t>
      </w:r>
    </w:p>
    <w:p w:rsidR="001060EA" w:rsidRPr="001060EA" w:rsidRDefault="001060EA" w:rsidP="001060EA">
      <w:pPr>
        <w:tabs>
          <w:tab w:val="left" w:pos="0"/>
        </w:tabs>
        <w:rPr>
          <w:rFonts w:cstheme="minorHAnsi"/>
          <w:sz w:val="24"/>
          <w:szCs w:val="24"/>
        </w:rPr>
      </w:pPr>
      <w:proofErr w:type="gramStart"/>
      <w:r w:rsidRPr="001060EA">
        <w:rPr>
          <w:rFonts w:cstheme="minorHAnsi"/>
          <w:i/>
          <w:iCs/>
          <w:sz w:val="24"/>
          <w:szCs w:val="24"/>
        </w:rPr>
        <w:t>Knapp v. Armstrong</w:t>
      </w:r>
      <w:r w:rsidRPr="001060EA">
        <w:rPr>
          <w:rFonts w:cstheme="minorHAnsi"/>
          <w:sz w:val="24"/>
          <w:szCs w:val="24"/>
        </w:rPr>
        <w:t>, 2012 WL 640890 (D. Idaho Feb. 26, 2012) (no right to hearing when there is a mass change that doesn’t include any individualized determination).</w:t>
      </w:r>
      <w:proofErr w:type="gramEnd"/>
    </w:p>
    <w:p w:rsidR="001060EA" w:rsidRPr="001060EA" w:rsidRDefault="001060EA" w:rsidP="001060EA">
      <w:pPr>
        <w:tabs>
          <w:tab w:val="left" w:pos="0"/>
        </w:tabs>
        <w:rPr>
          <w:rFonts w:cstheme="minorHAnsi"/>
          <w:b/>
          <w:sz w:val="24"/>
          <w:szCs w:val="24"/>
        </w:rPr>
      </w:pPr>
      <w:proofErr w:type="spellStart"/>
      <w:r w:rsidRPr="001060EA">
        <w:rPr>
          <w:rFonts w:cstheme="minorHAnsi"/>
          <w:i/>
          <w:iCs/>
          <w:sz w:val="24"/>
          <w:szCs w:val="24"/>
        </w:rPr>
        <w:t>Kuehl</w:t>
      </w:r>
      <w:proofErr w:type="spellEnd"/>
      <w:r w:rsidRPr="001060EA">
        <w:rPr>
          <w:rFonts w:cstheme="minorHAnsi"/>
          <w:i/>
          <w:iCs/>
          <w:sz w:val="24"/>
          <w:szCs w:val="24"/>
        </w:rPr>
        <w:t xml:space="preserve"> v. Dep’t of Soc. &amp; Health </w:t>
      </w:r>
      <w:proofErr w:type="spellStart"/>
      <w:r w:rsidRPr="001060EA">
        <w:rPr>
          <w:rFonts w:cstheme="minorHAnsi"/>
          <w:i/>
          <w:iCs/>
          <w:sz w:val="24"/>
          <w:szCs w:val="24"/>
        </w:rPr>
        <w:t>Servs</w:t>
      </w:r>
      <w:proofErr w:type="spellEnd"/>
      <w:r w:rsidRPr="001060EA">
        <w:rPr>
          <w:rFonts w:cstheme="minorHAnsi"/>
          <w:sz w:val="24"/>
          <w:szCs w:val="24"/>
        </w:rPr>
        <w:t>., 2011 WL 4830182 (Wash. Ct. App. Oct. 12, 2011) (finding notice adequate even though it did not contain details from assessment about reasons for individual decisions).</w:t>
      </w:r>
    </w:p>
    <w:p w:rsidR="001060EA" w:rsidRPr="001060EA" w:rsidRDefault="001060EA" w:rsidP="001060EA">
      <w:pPr>
        <w:tabs>
          <w:tab w:val="left" w:pos="0"/>
        </w:tabs>
        <w:rPr>
          <w:rFonts w:cstheme="minorHAnsi"/>
          <w:sz w:val="24"/>
          <w:szCs w:val="24"/>
        </w:rPr>
      </w:pPr>
      <w:r w:rsidRPr="001060EA">
        <w:rPr>
          <w:rFonts w:cstheme="minorHAnsi"/>
          <w:b/>
          <w:i/>
          <w:sz w:val="24"/>
          <w:szCs w:val="24"/>
        </w:rPr>
        <w:t>Hearing Requirements</w:t>
      </w:r>
    </w:p>
    <w:p w:rsidR="001060EA" w:rsidRPr="001060EA" w:rsidRDefault="001060EA" w:rsidP="001060EA">
      <w:pPr>
        <w:tabs>
          <w:tab w:val="left" w:pos="0"/>
        </w:tabs>
        <w:rPr>
          <w:rFonts w:cstheme="minorHAnsi"/>
          <w:sz w:val="24"/>
          <w:szCs w:val="24"/>
        </w:rPr>
      </w:pPr>
      <w:proofErr w:type="spellStart"/>
      <w:r w:rsidRPr="001060EA">
        <w:rPr>
          <w:rFonts w:cstheme="minorHAnsi"/>
          <w:i/>
          <w:iCs/>
          <w:sz w:val="24"/>
          <w:szCs w:val="24"/>
        </w:rPr>
        <w:t>Shakhnes</w:t>
      </w:r>
      <w:proofErr w:type="spellEnd"/>
      <w:r w:rsidRPr="001060EA">
        <w:rPr>
          <w:rFonts w:cstheme="minorHAnsi"/>
          <w:i/>
          <w:iCs/>
          <w:sz w:val="24"/>
          <w:szCs w:val="24"/>
        </w:rPr>
        <w:t xml:space="preserve"> v. Berlin</w:t>
      </w:r>
      <w:r w:rsidRPr="001060EA">
        <w:rPr>
          <w:rFonts w:cstheme="minorHAnsi"/>
          <w:sz w:val="24"/>
          <w:szCs w:val="24"/>
        </w:rPr>
        <w:t>, 689 F.3d 244 (2d Cir. 2012) (regulations impose a 90 day deadline for a hearing decision, not for implementation of relief).</w:t>
      </w:r>
    </w:p>
    <w:p w:rsidR="001060EA" w:rsidRPr="001060EA" w:rsidRDefault="001060EA" w:rsidP="001060EA">
      <w:pPr>
        <w:tabs>
          <w:tab w:val="left" w:pos="0"/>
        </w:tabs>
        <w:rPr>
          <w:rFonts w:cstheme="minorHAnsi"/>
          <w:sz w:val="24"/>
          <w:szCs w:val="24"/>
        </w:rPr>
      </w:pPr>
      <w:proofErr w:type="spellStart"/>
      <w:r w:rsidRPr="001060EA">
        <w:rPr>
          <w:rFonts w:cstheme="minorHAnsi"/>
          <w:i/>
          <w:iCs/>
          <w:sz w:val="24"/>
          <w:szCs w:val="24"/>
        </w:rPr>
        <w:t>Koenning</w:t>
      </w:r>
      <w:proofErr w:type="spellEnd"/>
      <w:r w:rsidRPr="001060EA">
        <w:rPr>
          <w:rFonts w:cstheme="minorHAnsi"/>
          <w:i/>
          <w:iCs/>
          <w:sz w:val="24"/>
          <w:szCs w:val="24"/>
        </w:rPr>
        <w:t xml:space="preserve"> v. </w:t>
      </w:r>
      <w:proofErr w:type="spellStart"/>
      <w:r w:rsidRPr="001060EA">
        <w:rPr>
          <w:rFonts w:cstheme="minorHAnsi"/>
          <w:i/>
          <w:iCs/>
          <w:sz w:val="24"/>
          <w:szCs w:val="24"/>
        </w:rPr>
        <w:t>Suehs</w:t>
      </w:r>
      <w:proofErr w:type="spellEnd"/>
      <w:r w:rsidRPr="001060EA">
        <w:rPr>
          <w:rFonts w:cstheme="minorHAnsi"/>
          <w:sz w:val="24"/>
          <w:szCs w:val="24"/>
        </w:rPr>
        <w:t>, 897 F. Supp. 2d 528 (S.D. Tex. 2012) (holding that due process was violated by policy that only authorized hearing officer to determine whether a denial of service complied with state policy even if the allegation was that it violated federal law) (on appeal).</w:t>
      </w:r>
    </w:p>
    <w:p w:rsidR="001060EA" w:rsidRPr="001060EA" w:rsidRDefault="001060EA" w:rsidP="001060EA">
      <w:pPr>
        <w:tabs>
          <w:tab w:val="left" w:pos="0"/>
        </w:tabs>
        <w:rPr>
          <w:rFonts w:cstheme="minorHAnsi"/>
          <w:sz w:val="24"/>
          <w:szCs w:val="24"/>
        </w:rPr>
      </w:pPr>
      <w:r w:rsidRPr="001060EA">
        <w:rPr>
          <w:rFonts w:cstheme="minorHAnsi"/>
          <w:i/>
          <w:iCs/>
          <w:sz w:val="24"/>
          <w:szCs w:val="24"/>
        </w:rPr>
        <w:t xml:space="preserve">Robinson v. N.C. Dep’t of Health &amp; Human </w:t>
      </w:r>
      <w:proofErr w:type="spellStart"/>
      <w:r w:rsidRPr="001060EA">
        <w:rPr>
          <w:rFonts w:cstheme="minorHAnsi"/>
          <w:i/>
          <w:iCs/>
          <w:sz w:val="24"/>
          <w:szCs w:val="24"/>
        </w:rPr>
        <w:t>Servs</w:t>
      </w:r>
      <w:proofErr w:type="spellEnd"/>
      <w:r w:rsidRPr="001060EA">
        <w:rPr>
          <w:rFonts w:cstheme="minorHAnsi"/>
          <w:i/>
          <w:iCs/>
          <w:sz w:val="24"/>
          <w:szCs w:val="24"/>
        </w:rPr>
        <w:t>.</w:t>
      </w:r>
      <w:r w:rsidRPr="001060EA">
        <w:rPr>
          <w:rFonts w:cstheme="minorHAnsi"/>
          <w:sz w:val="24"/>
          <w:szCs w:val="24"/>
        </w:rPr>
        <w:t>, 715 S.E.2d 569 (N.C. Ct. App. 2012) (holding hearing officer can consider evidence that was not made available to agency at the time of individual decision).</w:t>
      </w:r>
    </w:p>
    <w:p w:rsidR="001060EA" w:rsidRPr="001060EA" w:rsidRDefault="001060EA" w:rsidP="001060EA">
      <w:pPr>
        <w:tabs>
          <w:tab w:val="left" w:pos="0"/>
        </w:tabs>
        <w:rPr>
          <w:rFonts w:cstheme="minorHAnsi"/>
          <w:sz w:val="24"/>
          <w:szCs w:val="24"/>
        </w:rPr>
      </w:pPr>
      <w:r w:rsidRPr="001060EA">
        <w:rPr>
          <w:rFonts w:cstheme="minorHAnsi"/>
          <w:i/>
          <w:iCs/>
          <w:sz w:val="24"/>
          <w:szCs w:val="24"/>
        </w:rPr>
        <w:t>Matter of Godfrey v. Shah</w:t>
      </w:r>
      <w:r w:rsidRPr="001060EA">
        <w:rPr>
          <w:rFonts w:cstheme="minorHAnsi"/>
          <w:sz w:val="24"/>
          <w:szCs w:val="24"/>
        </w:rPr>
        <w:t>, 937 N.Y.S.2d 779 (N.Y. App. Civ. 2012) (allowing state professional testimony to take precedence over treating provider more experienced in the area).</w:t>
      </w:r>
    </w:p>
    <w:p w:rsidR="001060EA" w:rsidRPr="001060EA" w:rsidRDefault="001060EA" w:rsidP="001060EA">
      <w:pPr>
        <w:tabs>
          <w:tab w:val="left" w:pos="0"/>
        </w:tabs>
        <w:rPr>
          <w:rFonts w:cstheme="minorHAnsi"/>
          <w:sz w:val="24"/>
          <w:szCs w:val="24"/>
        </w:rPr>
      </w:pPr>
      <w:proofErr w:type="spellStart"/>
      <w:r w:rsidRPr="001060EA">
        <w:rPr>
          <w:rFonts w:cstheme="minorHAnsi"/>
          <w:i/>
          <w:iCs/>
          <w:sz w:val="24"/>
          <w:szCs w:val="24"/>
        </w:rPr>
        <w:t>Mocznianski</w:t>
      </w:r>
      <w:proofErr w:type="spellEnd"/>
      <w:r w:rsidRPr="001060EA">
        <w:rPr>
          <w:rFonts w:cstheme="minorHAnsi"/>
          <w:i/>
          <w:iCs/>
          <w:sz w:val="24"/>
          <w:szCs w:val="24"/>
        </w:rPr>
        <w:t xml:space="preserve"> v. Ohio Dep’t of Jobs &amp; Fam. </w:t>
      </w:r>
      <w:proofErr w:type="spellStart"/>
      <w:r w:rsidRPr="001060EA">
        <w:rPr>
          <w:rFonts w:cstheme="minorHAnsi"/>
          <w:i/>
          <w:iCs/>
          <w:sz w:val="24"/>
          <w:szCs w:val="24"/>
        </w:rPr>
        <w:t>Servs</w:t>
      </w:r>
      <w:proofErr w:type="spellEnd"/>
      <w:r w:rsidRPr="001060EA">
        <w:rPr>
          <w:rFonts w:cstheme="minorHAnsi"/>
          <w:i/>
          <w:iCs/>
          <w:sz w:val="24"/>
          <w:szCs w:val="24"/>
        </w:rPr>
        <w:t>.</w:t>
      </w:r>
      <w:r w:rsidRPr="001060EA">
        <w:rPr>
          <w:rFonts w:cstheme="minorHAnsi"/>
          <w:sz w:val="24"/>
          <w:szCs w:val="24"/>
        </w:rPr>
        <w:t>,</w:t>
      </w:r>
      <w:r w:rsidRPr="001060EA">
        <w:rPr>
          <w:rFonts w:cstheme="minorHAnsi"/>
          <w:i/>
          <w:iCs/>
          <w:sz w:val="24"/>
          <w:szCs w:val="24"/>
        </w:rPr>
        <w:t xml:space="preserve"> </w:t>
      </w:r>
      <w:r w:rsidRPr="001060EA">
        <w:rPr>
          <w:rFonts w:cstheme="minorHAnsi"/>
          <w:sz w:val="24"/>
          <w:szCs w:val="24"/>
        </w:rPr>
        <w:t>960 N.E.2d 522 (Ohio Ct. App. 2011) (holding that a decision must be based solely on evidence adduced at hearing).</w:t>
      </w:r>
    </w:p>
    <w:p w:rsidR="001060EA" w:rsidRPr="001060EA" w:rsidRDefault="001060EA" w:rsidP="001060EA">
      <w:pPr>
        <w:tabs>
          <w:tab w:val="left" w:pos="0"/>
        </w:tabs>
        <w:rPr>
          <w:rFonts w:cstheme="minorHAnsi"/>
          <w:sz w:val="24"/>
          <w:szCs w:val="24"/>
        </w:rPr>
      </w:pPr>
    </w:p>
    <w:p w:rsidR="001060EA" w:rsidRPr="001060EA" w:rsidRDefault="001060EA" w:rsidP="001060EA">
      <w:pPr>
        <w:tabs>
          <w:tab w:val="left" w:pos="0"/>
        </w:tabs>
        <w:rPr>
          <w:rFonts w:cstheme="minorHAnsi"/>
          <w:sz w:val="24"/>
          <w:szCs w:val="24"/>
        </w:rPr>
      </w:pPr>
      <w:proofErr w:type="gramStart"/>
      <w:r w:rsidRPr="001060EA">
        <w:rPr>
          <w:rFonts w:cstheme="minorHAnsi"/>
          <w:i/>
          <w:iCs/>
          <w:sz w:val="24"/>
          <w:szCs w:val="24"/>
        </w:rPr>
        <w:t>Lehmann v. Dep’t of Pub.</w:t>
      </w:r>
      <w:proofErr w:type="gramEnd"/>
      <w:r w:rsidRPr="001060EA">
        <w:rPr>
          <w:rFonts w:cstheme="minorHAnsi"/>
          <w:i/>
          <w:iCs/>
          <w:sz w:val="24"/>
          <w:szCs w:val="24"/>
        </w:rPr>
        <w:t xml:space="preserve"> </w:t>
      </w:r>
      <w:proofErr w:type="gramStart"/>
      <w:r w:rsidRPr="001060EA">
        <w:rPr>
          <w:rFonts w:cstheme="minorHAnsi"/>
          <w:i/>
          <w:iCs/>
          <w:sz w:val="24"/>
          <w:szCs w:val="24"/>
        </w:rPr>
        <w:t>Welfare</w:t>
      </w:r>
      <w:r w:rsidRPr="001060EA">
        <w:rPr>
          <w:rFonts w:cstheme="minorHAnsi"/>
          <w:sz w:val="24"/>
          <w:szCs w:val="24"/>
        </w:rPr>
        <w:t xml:space="preserve">, 30 A.3d 580 (Pa. </w:t>
      </w:r>
      <w:proofErr w:type="spellStart"/>
      <w:r w:rsidRPr="001060EA">
        <w:rPr>
          <w:rFonts w:cstheme="minorHAnsi"/>
          <w:sz w:val="24"/>
          <w:szCs w:val="24"/>
        </w:rPr>
        <w:t>Commw</w:t>
      </w:r>
      <w:proofErr w:type="spellEnd"/>
      <w:r w:rsidRPr="001060EA">
        <w:rPr>
          <w:rFonts w:cstheme="minorHAnsi"/>
          <w:sz w:val="24"/>
          <w:szCs w:val="24"/>
        </w:rPr>
        <w:t>.</w:t>
      </w:r>
      <w:proofErr w:type="gramEnd"/>
      <w:r w:rsidRPr="001060EA">
        <w:rPr>
          <w:rFonts w:cstheme="minorHAnsi"/>
          <w:sz w:val="24"/>
          <w:szCs w:val="24"/>
        </w:rPr>
        <w:t xml:space="preserve"> Ct. 2011) (agency can reverse HO findings of fact under state APA).</w:t>
      </w:r>
    </w:p>
    <w:p w:rsidR="001060EA" w:rsidRPr="001060EA" w:rsidRDefault="001060EA" w:rsidP="001060EA">
      <w:pPr>
        <w:tabs>
          <w:tab w:val="left" w:pos="0"/>
        </w:tabs>
        <w:rPr>
          <w:rFonts w:cstheme="minorHAnsi"/>
          <w:sz w:val="24"/>
          <w:szCs w:val="24"/>
        </w:rPr>
      </w:pPr>
      <w:r w:rsidRPr="001060EA">
        <w:rPr>
          <w:rFonts w:cstheme="minorHAnsi"/>
          <w:b/>
          <w:i/>
          <w:sz w:val="24"/>
          <w:szCs w:val="24"/>
        </w:rPr>
        <w:t xml:space="preserve">Requirements in managed care settings </w:t>
      </w:r>
    </w:p>
    <w:p w:rsidR="001060EA" w:rsidRPr="001060EA" w:rsidRDefault="001060EA" w:rsidP="001060EA">
      <w:pPr>
        <w:tabs>
          <w:tab w:val="left" w:pos="0"/>
        </w:tabs>
        <w:rPr>
          <w:rFonts w:cstheme="minorHAnsi"/>
          <w:sz w:val="24"/>
          <w:szCs w:val="24"/>
        </w:rPr>
      </w:pPr>
      <w:proofErr w:type="spellStart"/>
      <w:r w:rsidRPr="001060EA">
        <w:rPr>
          <w:rFonts w:cstheme="minorHAnsi"/>
          <w:i/>
          <w:iCs/>
          <w:sz w:val="24"/>
          <w:szCs w:val="24"/>
        </w:rPr>
        <w:t>Shakhnes</w:t>
      </w:r>
      <w:proofErr w:type="spellEnd"/>
      <w:r w:rsidRPr="001060EA">
        <w:rPr>
          <w:rFonts w:cstheme="minorHAnsi"/>
          <w:i/>
          <w:iCs/>
          <w:sz w:val="24"/>
          <w:szCs w:val="24"/>
        </w:rPr>
        <w:t xml:space="preserve"> v. Berlin</w:t>
      </w:r>
      <w:r w:rsidRPr="001060EA">
        <w:rPr>
          <w:rFonts w:cstheme="minorHAnsi"/>
          <w:sz w:val="24"/>
          <w:szCs w:val="24"/>
        </w:rPr>
        <w:t>, 689 F.3d 244 (2d Cir. 2012) (rejecting argument that 90 day deadline for issuing final decision applied only to individuals enrolled in managed care organizations (MCOs)).</w:t>
      </w:r>
    </w:p>
    <w:p w:rsidR="001060EA" w:rsidRPr="001060EA" w:rsidRDefault="001060EA" w:rsidP="001060EA">
      <w:pPr>
        <w:tabs>
          <w:tab w:val="left" w:pos="0"/>
        </w:tabs>
        <w:rPr>
          <w:rFonts w:cstheme="minorHAnsi"/>
          <w:sz w:val="24"/>
          <w:szCs w:val="24"/>
        </w:rPr>
      </w:pPr>
      <w:r w:rsidRPr="001060EA">
        <w:rPr>
          <w:rFonts w:cstheme="minorHAnsi"/>
          <w:i/>
          <w:iCs/>
          <w:sz w:val="24"/>
          <w:szCs w:val="24"/>
        </w:rPr>
        <w:t>L.S. v. Delia</w:t>
      </w:r>
      <w:r w:rsidRPr="001060EA">
        <w:rPr>
          <w:rFonts w:cstheme="minorHAnsi"/>
          <w:sz w:val="24"/>
          <w:szCs w:val="24"/>
        </w:rPr>
        <w:t xml:space="preserve">, 2012 U.S. Dist. LEXIS 43822 (E.D. N.C. Mar. 29, 2012) (holding that the generally applicable notice and hearing regulations at 42 C.F.R. pt. 431 also apply to individuals enrolled in MCOs). </w:t>
      </w:r>
    </w:p>
    <w:p w:rsidR="001060EA" w:rsidRPr="001060EA" w:rsidRDefault="001060EA" w:rsidP="001060EA">
      <w:pPr>
        <w:tabs>
          <w:tab w:val="left" w:pos="0"/>
        </w:tabs>
        <w:rPr>
          <w:rFonts w:cstheme="minorHAnsi"/>
          <w:b/>
          <w:i/>
          <w:iCs/>
          <w:sz w:val="24"/>
          <w:szCs w:val="24"/>
        </w:rPr>
      </w:pPr>
      <w:r w:rsidRPr="001060EA">
        <w:rPr>
          <w:rFonts w:cstheme="minorHAnsi"/>
          <w:b/>
          <w:i/>
          <w:iCs/>
          <w:sz w:val="24"/>
          <w:szCs w:val="24"/>
        </w:rPr>
        <w:t>Requirements for accessible procedures</w:t>
      </w:r>
    </w:p>
    <w:p w:rsidR="001060EA" w:rsidRPr="001060EA" w:rsidRDefault="001060EA" w:rsidP="001060EA">
      <w:pPr>
        <w:tabs>
          <w:tab w:val="left" w:pos="0"/>
        </w:tabs>
        <w:rPr>
          <w:rFonts w:cstheme="minorHAnsi"/>
          <w:iCs/>
          <w:sz w:val="24"/>
          <w:szCs w:val="24"/>
        </w:rPr>
      </w:pPr>
      <w:r w:rsidRPr="001060EA">
        <w:rPr>
          <w:rFonts w:cstheme="minorHAnsi"/>
          <w:i/>
          <w:iCs/>
          <w:sz w:val="24"/>
          <w:szCs w:val="24"/>
        </w:rPr>
        <w:t xml:space="preserve">Oster v. </w:t>
      </w:r>
      <w:proofErr w:type="spellStart"/>
      <w:r w:rsidRPr="001060EA">
        <w:rPr>
          <w:rFonts w:cstheme="minorHAnsi"/>
          <w:i/>
          <w:iCs/>
          <w:sz w:val="24"/>
          <w:szCs w:val="24"/>
        </w:rPr>
        <w:t>Lightbourne</w:t>
      </w:r>
      <w:proofErr w:type="spellEnd"/>
      <w:r w:rsidRPr="001060EA">
        <w:rPr>
          <w:rFonts w:cstheme="minorHAnsi"/>
          <w:i/>
          <w:iCs/>
          <w:sz w:val="24"/>
          <w:szCs w:val="24"/>
        </w:rPr>
        <w:t xml:space="preserve">, </w:t>
      </w:r>
      <w:r w:rsidRPr="001060EA">
        <w:rPr>
          <w:rFonts w:cstheme="minorHAnsi"/>
          <w:iCs/>
          <w:sz w:val="24"/>
          <w:szCs w:val="24"/>
        </w:rPr>
        <w:t>2012 WL 691833 (N.D. Cal. Mar. 2, 2012) (preliminary injunction) (finding notices not accessible to people with disabilities, limited English proficiency or low literacy likely violated due process).</w:t>
      </w:r>
    </w:p>
    <w:p w:rsidR="001060EA" w:rsidRPr="001060EA" w:rsidRDefault="001060EA" w:rsidP="001060EA">
      <w:pPr>
        <w:tabs>
          <w:tab w:val="left" w:pos="0"/>
        </w:tabs>
        <w:rPr>
          <w:rFonts w:cstheme="minorHAnsi"/>
          <w:iCs/>
          <w:sz w:val="24"/>
          <w:szCs w:val="24"/>
        </w:rPr>
      </w:pPr>
      <w:r w:rsidRPr="001060EA">
        <w:rPr>
          <w:rFonts w:cstheme="minorHAnsi"/>
          <w:i/>
          <w:iCs/>
          <w:sz w:val="24"/>
          <w:szCs w:val="24"/>
        </w:rPr>
        <w:t xml:space="preserve">Perdue v. </w:t>
      </w:r>
      <w:proofErr w:type="spellStart"/>
      <w:r w:rsidRPr="001060EA">
        <w:rPr>
          <w:rFonts w:cstheme="minorHAnsi"/>
          <w:i/>
          <w:iCs/>
          <w:sz w:val="24"/>
          <w:szCs w:val="24"/>
        </w:rPr>
        <w:t>Gargano</w:t>
      </w:r>
      <w:proofErr w:type="spellEnd"/>
      <w:r w:rsidRPr="001060EA">
        <w:rPr>
          <w:rFonts w:cstheme="minorHAnsi"/>
          <w:i/>
          <w:iCs/>
          <w:sz w:val="24"/>
          <w:szCs w:val="24"/>
        </w:rPr>
        <w:t xml:space="preserve">, </w:t>
      </w:r>
      <w:r w:rsidRPr="001060EA">
        <w:rPr>
          <w:rFonts w:cstheme="minorHAnsi"/>
          <w:iCs/>
          <w:sz w:val="24"/>
          <w:szCs w:val="24"/>
        </w:rPr>
        <w:t>964 N.E.2d 825 (Ind. 2012) (requiring state agency to make some reasonable accommodation under ADA for hearing impaired individuals).</w:t>
      </w:r>
    </w:p>
    <w:p w:rsidR="001060EA" w:rsidRPr="001060EA" w:rsidRDefault="001060EA" w:rsidP="001060EA">
      <w:pPr>
        <w:ind w:left="360" w:hanging="360"/>
        <w:rPr>
          <w:rFonts w:cstheme="minorHAnsi"/>
          <w:b/>
          <w:sz w:val="24"/>
          <w:szCs w:val="24"/>
        </w:rPr>
      </w:pPr>
      <w:r w:rsidRPr="001060EA">
        <w:rPr>
          <w:rFonts w:cstheme="minorHAnsi"/>
          <w:b/>
          <w:sz w:val="24"/>
          <w:szCs w:val="24"/>
        </w:rPr>
        <w:t xml:space="preserve">Conclusion </w:t>
      </w:r>
    </w:p>
    <w:p w:rsidR="0030428D" w:rsidRDefault="001060EA" w:rsidP="0085424E">
      <w:r w:rsidRPr="001060EA">
        <w:rPr>
          <w:rFonts w:cstheme="minorHAnsi"/>
          <w:sz w:val="24"/>
          <w:szCs w:val="24"/>
        </w:rPr>
        <w:t xml:space="preserve">Additional information and authorities can be found in </w:t>
      </w:r>
      <w:proofErr w:type="spellStart"/>
      <w:r w:rsidRPr="001060EA">
        <w:rPr>
          <w:rFonts w:cstheme="minorHAnsi"/>
          <w:sz w:val="24"/>
          <w:szCs w:val="24"/>
        </w:rPr>
        <w:t>NHeLP’s</w:t>
      </w:r>
      <w:proofErr w:type="spellEnd"/>
      <w:r w:rsidRPr="001060EA">
        <w:rPr>
          <w:rFonts w:cstheme="minorHAnsi"/>
          <w:sz w:val="24"/>
          <w:szCs w:val="24"/>
        </w:rPr>
        <w:t xml:space="preserve"> </w:t>
      </w:r>
      <w:r w:rsidRPr="001060EA">
        <w:rPr>
          <w:rFonts w:cstheme="minorHAnsi"/>
          <w:i/>
          <w:sz w:val="24"/>
          <w:szCs w:val="24"/>
        </w:rPr>
        <w:t xml:space="preserve">Advocate’s Guide to the Medicaid Program, </w:t>
      </w:r>
      <w:r w:rsidRPr="001060EA">
        <w:rPr>
          <w:rFonts w:cstheme="minorHAnsi"/>
          <w:sz w:val="24"/>
          <w:szCs w:val="24"/>
        </w:rPr>
        <w:t xml:space="preserve">Chapter II: Administration, Part T: Notice and Hearing (2011, </w:t>
      </w:r>
      <w:proofErr w:type="spellStart"/>
      <w:r w:rsidRPr="001060EA">
        <w:rPr>
          <w:rFonts w:cstheme="minorHAnsi"/>
          <w:sz w:val="24"/>
          <w:szCs w:val="24"/>
        </w:rPr>
        <w:t>upd</w:t>
      </w:r>
      <w:proofErr w:type="spellEnd"/>
      <w:r w:rsidRPr="001060EA">
        <w:rPr>
          <w:rFonts w:cstheme="minorHAnsi"/>
          <w:sz w:val="24"/>
          <w:szCs w:val="24"/>
        </w:rPr>
        <w:t xml:space="preserve">. 2013), available from NHeLP.  NHeLP has also written various Q&amp;As and Fact Sheets on due process, which are available from </w:t>
      </w:r>
      <w:bookmarkStart w:id="0" w:name="_GoBack"/>
      <w:bookmarkEnd w:id="0"/>
      <w:r w:rsidRPr="001060EA">
        <w:rPr>
          <w:rFonts w:cstheme="minorHAnsi"/>
          <w:sz w:val="24"/>
          <w:szCs w:val="24"/>
        </w:rPr>
        <w:t>NHeLP.</w:t>
      </w:r>
    </w:p>
    <w:sectPr w:rsidR="0030428D" w:rsidSect="00B975A2">
      <w:headerReference w:type="default" r:id="rId10"/>
      <w:footerReference w:type="default" r:id="rId11"/>
      <w:headerReference w:type="first" r:id="rId12"/>
      <w:footerReference w:type="first" r:id="rId13"/>
      <w:pgSz w:w="12240" w:h="15840"/>
      <w:pgMar w:top="144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CC" w:rsidRDefault="00C671CC" w:rsidP="006579B0">
      <w:pPr>
        <w:spacing w:after="0" w:line="240" w:lineRule="auto"/>
      </w:pPr>
      <w:r>
        <w:separator/>
      </w:r>
    </w:p>
  </w:endnote>
  <w:endnote w:type="continuationSeparator" w:id="0">
    <w:p w:rsidR="00C671CC" w:rsidRDefault="00C671CC" w:rsidP="006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440065064"/>
      <w:docPartObj>
        <w:docPartGallery w:val="Page Numbers (Bottom of Page)"/>
        <w:docPartUnique/>
      </w:docPartObj>
    </w:sdtPr>
    <w:sdtEndPr>
      <w:rPr>
        <w:rFonts w:asciiTheme="minorHAnsi" w:hAnsiTheme="minorHAnsi" w:cstheme="minorBidi"/>
        <w:noProof/>
        <w:sz w:val="18"/>
        <w:szCs w:val="20"/>
      </w:rPr>
    </w:sdtEndPr>
    <w:sdtContent>
      <w:p w:rsidR="00B975A2" w:rsidRDefault="00B975A2" w:rsidP="009873A1">
        <w:pPr>
          <w:pStyle w:val="Footer"/>
          <w:tabs>
            <w:tab w:val="left" w:pos="0"/>
          </w:tabs>
          <w:rPr>
            <w:rFonts w:asciiTheme="majorHAnsi" w:hAnsiTheme="majorHAnsi" w:cstheme="majorHAnsi"/>
            <w:sz w:val="20"/>
          </w:rPr>
        </w:pPr>
      </w:p>
      <w:p w:rsidR="00B975A2" w:rsidRPr="00BE4E79" w:rsidRDefault="00B975A2" w:rsidP="009873A1">
        <w:pPr>
          <w:pStyle w:val="Footer"/>
          <w:tabs>
            <w:tab w:val="left" w:pos="0"/>
          </w:tabs>
          <w:rPr>
            <w:rFonts w:asciiTheme="majorHAnsi" w:hAnsiTheme="majorHAnsi" w:cstheme="majorHAnsi"/>
            <w:szCs w:val="20"/>
          </w:rPr>
        </w:pPr>
        <w:r w:rsidRPr="009C45A9">
          <w:rPr>
            <w:rFonts w:ascii="Arial" w:hAnsi="Arial"/>
            <w:b/>
            <w:noProof/>
            <w:color w:val="002060"/>
            <w:sz w:val="24"/>
          </w:rPr>
          <w:drawing>
            <wp:inline distT="0" distB="0" distL="0" distR="0" wp14:anchorId="2C8371DD" wp14:editId="49B3E3A2">
              <wp:extent cx="970865" cy="365760"/>
              <wp:effectExtent l="0" t="0" r="1270" b="0"/>
              <wp:docPr id="21" name="Picture 21" descr="\\psf\Home\Desktop\NHELP\ACA Top 6\NHLP_2c_2995-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NHELP\ACA Top 6\NHLP_2c_2995-28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865" cy="365760"/>
                      </a:xfrm>
                      <a:prstGeom prst="rect">
                        <a:avLst/>
                      </a:prstGeom>
                      <a:noFill/>
                      <a:ln>
                        <a:noFill/>
                      </a:ln>
                    </pic:spPr>
                  </pic:pic>
                </a:graphicData>
              </a:graphic>
            </wp:inline>
          </w:drawing>
        </w:r>
        <w:r w:rsidRPr="009C45A9">
          <w:rPr>
            <w:color w:val="002060"/>
            <w:sz w:val="18"/>
          </w:rPr>
          <w:ptab w:relativeTo="margin" w:alignment="right" w:leader="none"/>
        </w:r>
        <w:r w:rsidRPr="00BE4E79">
          <w:rPr>
            <w:color w:val="002060"/>
            <w:szCs w:val="20"/>
          </w:rPr>
          <w:fldChar w:fldCharType="begin"/>
        </w:r>
        <w:r w:rsidRPr="00BE4E79">
          <w:rPr>
            <w:color w:val="002060"/>
            <w:szCs w:val="20"/>
          </w:rPr>
          <w:instrText xml:space="preserve"> PAGE   \* MERGEFORMAT </w:instrText>
        </w:r>
        <w:r w:rsidRPr="00BE4E79">
          <w:rPr>
            <w:color w:val="002060"/>
            <w:szCs w:val="20"/>
          </w:rPr>
          <w:fldChar w:fldCharType="separate"/>
        </w:r>
        <w:r w:rsidR="007028D1">
          <w:rPr>
            <w:noProof/>
            <w:color w:val="002060"/>
            <w:szCs w:val="20"/>
          </w:rPr>
          <w:t>7</w:t>
        </w:r>
        <w:r w:rsidRPr="00BE4E79">
          <w:rPr>
            <w:noProof/>
            <w:color w:val="002060"/>
            <w:szCs w:val="20"/>
          </w:rPr>
          <w:fldChar w:fldCharType="end"/>
        </w:r>
      </w:p>
      <w:p w:rsidR="00B975A2" w:rsidRPr="009873A1" w:rsidRDefault="007028D1" w:rsidP="009873A1">
        <w:pPr>
          <w:pStyle w:val="Footer"/>
          <w:jc w:val="right"/>
          <w:rPr>
            <w:noProof/>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Pr="009873A1" w:rsidRDefault="00B975A2" w:rsidP="009873A1">
    <w:pPr>
      <w:spacing w:after="0" w:line="240" w:lineRule="auto"/>
      <w:rPr>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55"/>
      <w:gridCol w:w="2355"/>
    </w:tblGrid>
    <w:tr w:rsidR="00B975A2" w:rsidRPr="00BE1D99" w:rsidTr="009873A1">
      <w:trPr>
        <w:trHeight w:val="230"/>
        <w:jc w:val="center"/>
      </w:trPr>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Washington, DC</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Los Angeles, CA</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Carrboro, NC</w:t>
          </w:r>
        </w:p>
      </w:tc>
    </w:tr>
    <w:tr w:rsidR="00B975A2" w:rsidRPr="00BE1D99" w:rsidTr="009873A1">
      <w:trPr>
        <w:trHeight w:val="230"/>
        <w:jc w:val="center"/>
      </w:trPr>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(202) 289-7661</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(310) 204-6010</w:t>
          </w:r>
        </w:p>
      </w:tc>
      <w:tc>
        <w:tcPr>
          <w:tcW w:w="2355" w:type="dxa"/>
          <w:vAlign w:val="bottom"/>
        </w:tcPr>
        <w:p w:rsidR="00B975A2" w:rsidRPr="00BE1D99" w:rsidRDefault="00B975A2" w:rsidP="009873A1">
          <w:pPr>
            <w:pStyle w:val="Footer"/>
            <w:jc w:val="center"/>
            <w:rPr>
              <w:rFonts w:asciiTheme="majorHAnsi" w:hAnsiTheme="majorHAnsi" w:cstheme="majorHAnsi"/>
              <w:color w:val="002060"/>
              <w:sz w:val="18"/>
              <w:szCs w:val="18"/>
            </w:rPr>
          </w:pPr>
          <w:r w:rsidRPr="00BE1D99">
            <w:rPr>
              <w:rFonts w:asciiTheme="majorHAnsi" w:hAnsiTheme="majorHAnsi" w:cstheme="majorHAnsi"/>
              <w:color w:val="002060"/>
              <w:sz w:val="18"/>
              <w:szCs w:val="18"/>
            </w:rPr>
            <w:t>(919) 968-6308</w:t>
          </w:r>
        </w:p>
      </w:tc>
    </w:tr>
    <w:tr w:rsidR="00B975A2" w:rsidRPr="00BE1D99" w:rsidTr="009873A1">
      <w:trPr>
        <w:trHeight w:val="230"/>
        <w:jc w:val="center"/>
      </w:trPr>
      <w:tc>
        <w:tcPr>
          <w:tcW w:w="7065" w:type="dxa"/>
          <w:gridSpan w:val="3"/>
          <w:vAlign w:val="bottom"/>
        </w:tcPr>
        <w:p w:rsidR="00B975A2" w:rsidRPr="00BE1D99" w:rsidRDefault="007028D1" w:rsidP="009873A1">
          <w:pPr>
            <w:pStyle w:val="Footer"/>
            <w:tabs>
              <w:tab w:val="left" w:pos="2242"/>
            </w:tabs>
            <w:jc w:val="center"/>
            <w:rPr>
              <w:rFonts w:asciiTheme="majorHAnsi" w:hAnsiTheme="majorHAnsi" w:cstheme="majorHAnsi"/>
              <w:sz w:val="18"/>
              <w:szCs w:val="18"/>
            </w:rPr>
          </w:pPr>
          <w:hyperlink r:id="rId1" w:history="1">
            <w:r w:rsidR="00B975A2" w:rsidRPr="00BE1D99">
              <w:rPr>
                <w:rStyle w:val="Hyperlink"/>
                <w:rFonts w:asciiTheme="majorHAnsi" w:hAnsiTheme="majorHAnsi" w:cstheme="majorHAnsi"/>
                <w:sz w:val="18"/>
                <w:szCs w:val="18"/>
              </w:rPr>
              <w:t>www.healthlaw.org</w:t>
            </w:r>
          </w:hyperlink>
        </w:p>
      </w:tc>
    </w:tr>
  </w:tbl>
  <w:p w:rsidR="00B975A2" w:rsidRPr="0083060F" w:rsidRDefault="00B975A2" w:rsidP="0083060F">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CC" w:rsidRDefault="00C671CC" w:rsidP="006579B0">
      <w:pPr>
        <w:spacing w:after="0" w:line="240" w:lineRule="auto"/>
      </w:pPr>
      <w:r>
        <w:separator/>
      </w:r>
    </w:p>
  </w:footnote>
  <w:footnote w:type="continuationSeparator" w:id="0">
    <w:p w:rsidR="00C671CC" w:rsidRDefault="00C671CC" w:rsidP="006579B0">
      <w:pPr>
        <w:spacing w:after="0" w:line="240" w:lineRule="auto"/>
      </w:pPr>
      <w:r>
        <w:continuationSeparator/>
      </w:r>
    </w:p>
  </w:footnote>
  <w:footnote w:id="1">
    <w:p w:rsidR="001060EA" w:rsidRDefault="001060EA">
      <w:pPr>
        <w:pStyle w:val="FootnoteText"/>
      </w:pPr>
      <w:r>
        <w:rPr>
          <w:rStyle w:val="FootnoteReference"/>
        </w:rPr>
        <w:footnoteRef/>
      </w:r>
      <w:r>
        <w:t xml:space="preserve"> </w:t>
      </w:r>
      <w:proofErr w:type="gramStart"/>
      <w:r w:rsidRPr="00A93CE9">
        <w:rPr>
          <w:rFonts w:cstheme="minorHAnsi"/>
          <w:szCs w:val="22"/>
        </w:rPr>
        <w:t xml:space="preserve">Produced by the National Health Law Program with a grant from the Nathan Cummings Foundation, NC IOLTA, and the Training Advocacy Support Center (TASC), which is sponsored by the Administration on Developmental Disabilities, the Center for Mental Health Services, the Rehabilitation Services Administration, the Social Security Administration, and the </w:t>
      </w:r>
      <w:proofErr w:type="spellStart"/>
      <w:r w:rsidRPr="00A93CE9">
        <w:rPr>
          <w:rFonts w:cstheme="minorHAnsi"/>
          <w:szCs w:val="22"/>
        </w:rPr>
        <w:t>HealthResources</w:t>
      </w:r>
      <w:proofErr w:type="spellEnd"/>
      <w:r w:rsidRPr="00A93CE9">
        <w:rPr>
          <w:rFonts w:cstheme="minorHAnsi"/>
          <w:szCs w:val="22"/>
        </w:rPr>
        <w:t xml:space="preserve"> Services Administration.</w:t>
      </w:r>
      <w:proofErr w:type="gramEnd"/>
      <w:r w:rsidRPr="00A93CE9">
        <w:rPr>
          <w:rFonts w:cstheme="minorHAnsi"/>
          <w:szCs w:val="22"/>
        </w:rPr>
        <w:t xml:space="preserve"> TASC is a division of the National Disabilities Rights Network (NDRN).</w:t>
      </w:r>
    </w:p>
  </w:footnote>
  <w:footnote w:id="2">
    <w:p w:rsidR="001060EA" w:rsidRPr="00AE62ED" w:rsidRDefault="001060EA" w:rsidP="001060EA">
      <w:pPr>
        <w:pStyle w:val="FootnoteText"/>
        <w:rPr>
          <w:rFonts w:ascii="Tahoma" w:hAnsi="Tahoma" w:cs="Tahoma"/>
        </w:rPr>
      </w:pPr>
      <w:r w:rsidRPr="00AE62ED">
        <w:rPr>
          <w:rStyle w:val="FootnoteReference"/>
          <w:rFonts w:ascii="Tahoma" w:hAnsi="Tahoma" w:cs="Tahoma"/>
        </w:rPr>
        <w:footnoteRef/>
      </w:r>
      <w:r w:rsidRPr="00AE62ED">
        <w:rPr>
          <w:rFonts w:ascii="Tahoma" w:hAnsi="Tahoma" w:cs="Tahoma"/>
        </w:rPr>
        <w:t xml:space="preserve"> </w:t>
      </w:r>
      <w:proofErr w:type="gramStart"/>
      <w:r w:rsidRPr="00AE62ED">
        <w:rPr>
          <w:rFonts w:ascii="Tahoma" w:hAnsi="Tahoma" w:cs="Tahoma"/>
        </w:rPr>
        <w:t>938 N.E. 2d 823 (Ind. Ct. App. 2010).</w:t>
      </w:r>
      <w:proofErr w:type="gramEnd"/>
    </w:p>
  </w:footnote>
  <w:footnote w:id="3">
    <w:p w:rsidR="001060EA" w:rsidRPr="00AE62ED" w:rsidRDefault="001060EA" w:rsidP="001060EA">
      <w:pPr>
        <w:pStyle w:val="FootnoteText"/>
        <w:rPr>
          <w:rFonts w:ascii="Tahoma" w:hAnsi="Tahoma" w:cs="Tahoma"/>
        </w:rPr>
      </w:pPr>
      <w:r w:rsidRPr="00AE62ED">
        <w:rPr>
          <w:rStyle w:val="FootnoteReference"/>
          <w:rFonts w:ascii="Tahoma" w:hAnsi="Tahoma" w:cs="Tahoma"/>
        </w:rPr>
        <w:footnoteRef/>
      </w:r>
      <w:r w:rsidRPr="00AE62ED">
        <w:rPr>
          <w:rFonts w:ascii="Tahoma" w:hAnsi="Tahoma" w:cs="Tahoma"/>
        </w:rPr>
        <w:t xml:space="preserve"> </w:t>
      </w:r>
      <w:proofErr w:type="gramStart"/>
      <w:r w:rsidRPr="00AE62ED">
        <w:rPr>
          <w:rFonts w:ascii="Tahoma" w:hAnsi="Tahoma" w:cs="Tahoma"/>
        </w:rPr>
        <w:t>424 U.S. 319 (1976).</w:t>
      </w:r>
      <w:proofErr w:type="gramEnd"/>
    </w:p>
  </w:footnote>
  <w:footnote w:id="4">
    <w:p w:rsidR="001060EA" w:rsidRPr="00AE62ED" w:rsidRDefault="001060EA" w:rsidP="001060EA">
      <w:pPr>
        <w:pStyle w:val="FootnoteText"/>
        <w:rPr>
          <w:rFonts w:ascii="Tahoma" w:hAnsi="Tahoma" w:cs="Tahoma"/>
        </w:rPr>
      </w:pPr>
      <w:r w:rsidRPr="00AE62ED">
        <w:rPr>
          <w:rStyle w:val="FootnoteReference"/>
          <w:rFonts w:ascii="Tahoma" w:hAnsi="Tahoma" w:cs="Tahoma"/>
        </w:rPr>
        <w:footnoteRef/>
      </w:r>
      <w:r w:rsidRPr="00AE62ED">
        <w:rPr>
          <w:rFonts w:ascii="Tahoma" w:hAnsi="Tahoma" w:cs="Tahoma"/>
        </w:rPr>
        <w:t xml:space="preserve"> </w:t>
      </w:r>
      <w:r w:rsidRPr="00AE62ED">
        <w:rPr>
          <w:rFonts w:ascii="Tahoma" w:hAnsi="Tahoma" w:cs="Tahoma"/>
          <w:color w:val="000000"/>
          <w:lang w:val="en-GB"/>
        </w:rPr>
        <w:t>657 P.2d 117, 119 (N.M. 1982),</w:t>
      </w:r>
    </w:p>
  </w:footnote>
  <w:footnote w:id="5">
    <w:p w:rsidR="001060EA" w:rsidRPr="00584819" w:rsidRDefault="001060EA" w:rsidP="001060EA">
      <w:pPr>
        <w:pStyle w:val="FootnoteText"/>
        <w:rPr>
          <w:rFonts w:ascii="Tahoma" w:hAnsi="Tahoma" w:cs="Tahoma"/>
        </w:rPr>
      </w:pPr>
      <w:r w:rsidRPr="00584819">
        <w:rPr>
          <w:rStyle w:val="FootnoteReference"/>
          <w:rFonts w:ascii="Tahoma" w:hAnsi="Tahoma" w:cs="Tahoma"/>
        </w:rPr>
        <w:footnoteRef/>
      </w:r>
      <w:r w:rsidRPr="00584819">
        <w:rPr>
          <w:rFonts w:ascii="Tahoma" w:hAnsi="Tahoma" w:cs="Tahoma"/>
        </w:rPr>
        <w:t xml:space="preserve"> </w:t>
      </w:r>
      <w:proofErr w:type="gramStart"/>
      <w:r w:rsidRPr="00584819">
        <w:rPr>
          <w:rFonts w:ascii="Tahoma" w:hAnsi="Tahoma" w:cs="Tahoma"/>
          <w:color w:val="000000"/>
          <w:lang w:val="en-GB"/>
        </w:rPr>
        <w:t>191 P.3d 1005 (Alaska 2008).</w:t>
      </w:r>
      <w:proofErr w:type="gramEnd"/>
    </w:p>
  </w:footnote>
  <w:footnote w:id="6">
    <w:p w:rsidR="001060EA" w:rsidRPr="00584819" w:rsidRDefault="001060EA" w:rsidP="001060EA">
      <w:pPr>
        <w:pStyle w:val="FootnoteText"/>
        <w:rPr>
          <w:rFonts w:ascii="Tahoma" w:hAnsi="Tahoma" w:cs="Tahoma"/>
        </w:rPr>
      </w:pPr>
      <w:r w:rsidRPr="00584819">
        <w:rPr>
          <w:rStyle w:val="FootnoteReference"/>
          <w:rFonts w:ascii="Tahoma" w:hAnsi="Tahoma" w:cs="Tahoma"/>
        </w:rPr>
        <w:footnoteRef/>
      </w:r>
      <w:r w:rsidRPr="00584819">
        <w:rPr>
          <w:rFonts w:ascii="Tahoma" w:hAnsi="Tahoma" w:cs="Tahoma"/>
        </w:rPr>
        <w:t xml:space="preserve"> 616 F. Supp. 1046, 106</w:t>
      </w:r>
      <w:r>
        <w:rPr>
          <w:rFonts w:ascii="Tahoma" w:hAnsi="Tahoma" w:cs="Tahoma"/>
        </w:rPr>
        <w:t xml:space="preserve">2 (D. Del.), </w:t>
      </w:r>
      <w:r w:rsidRPr="00584819">
        <w:rPr>
          <w:rFonts w:ascii="Tahoma" w:hAnsi="Tahoma" w:cs="Tahoma"/>
          <w:i/>
        </w:rPr>
        <w:t xml:space="preserve">on </w:t>
      </w:r>
      <w:proofErr w:type="spellStart"/>
      <w:r w:rsidRPr="00584819">
        <w:rPr>
          <w:rFonts w:ascii="Tahoma" w:hAnsi="Tahoma" w:cs="Tahoma"/>
          <w:i/>
        </w:rPr>
        <w:t>reargument</w:t>
      </w:r>
      <w:proofErr w:type="spellEnd"/>
      <w:r w:rsidRPr="00584819">
        <w:rPr>
          <w:rFonts w:ascii="Tahoma" w:hAnsi="Tahoma" w:cs="Tahoma"/>
        </w:rPr>
        <w:t xml:space="preserve">, 616 F. Supp. 1066 (D. Del. 1985), </w:t>
      </w:r>
      <w:proofErr w:type="spellStart"/>
      <w:r w:rsidRPr="00584819">
        <w:rPr>
          <w:rFonts w:ascii="Tahoma" w:hAnsi="Tahoma" w:cs="Tahoma"/>
          <w:i/>
        </w:rPr>
        <w:t>aff’d</w:t>
      </w:r>
      <w:proofErr w:type="spellEnd"/>
      <w:r w:rsidRPr="00584819">
        <w:rPr>
          <w:rFonts w:ascii="Tahoma" w:hAnsi="Tahoma" w:cs="Tahoma"/>
        </w:rPr>
        <w:t xml:space="preserve">, 794 F.2d 889 (3d Cir. 1986).  </w:t>
      </w:r>
    </w:p>
  </w:footnote>
  <w:footnote w:id="7">
    <w:p w:rsidR="001060EA" w:rsidRDefault="001060EA" w:rsidP="001060EA">
      <w:pPr>
        <w:pStyle w:val="FootnoteText"/>
      </w:pPr>
      <w:r>
        <w:rPr>
          <w:rStyle w:val="FootnoteReference"/>
        </w:rPr>
        <w:footnoteRef/>
      </w:r>
      <w:r>
        <w:t xml:space="preserve"> </w:t>
      </w:r>
      <w:proofErr w:type="gramStart"/>
      <w:r w:rsidRPr="00584819">
        <w:rPr>
          <w:rFonts w:ascii="Tahoma" w:hAnsi="Tahoma" w:cs="Tahoma"/>
        </w:rPr>
        <w:t>616 F. Supp. 1046, 106</w:t>
      </w:r>
      <w:r>
        <w:rPr>
          <w:rFonts w:ascii="Tahoma" w:hAnsi="Tahoma" w:cs="Tahoma"/>
        </w:rPr>
        <w:t>2 (D. Del. 1985).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Default="00B975A2">
    <w:pPr>
      <w:pStyle w:val="Header"/>
    </w:pPr>
  </w:p>
  <w:p w:rsidR="00837DF8" w:rsidRDefault="0083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A2" w:rsidRPr="00B975A2" w:rsidRDefault="00B975A2" w:rsidP="009873A1">
    <w:pPr>
      <w:pStyle w:val="Header"/>
      <w:rPr>
        <w:color w:val="FF0000"/>
        <w:sz w:val="24"/>
      </w:rPr>
    </w:pPr>
    <w:r w:rsidRPr="00DB4C89">
      <w:rPr>
        <w:rFonts w:ascii="Arial" w:hAnsi="Arial"/>
        <w:b/>
        <w:noProof/>
        <w:color w:val="002060"/>
        <w:sz w:val="28"/>
      </w:rPr>
      <w:drawing>
        <wp:inline distT="0" distB="0" distL="0" distR="0" wp14:anchorId="3388202A" wp14:editId="0846A7BB">
          <wp:extent cx="1818314" cy="685800"/>
          <wp:effectExtent l="0" t="0" r="0" b="0"/>
          <wp:docPr id="22" name="Picture 22" descr="\\psf\Home\Desktop\NHELP\ACA Top 6\NHLP_2c_2995-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NHELP\ACA Top 6\NHLP_2c_2995-2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314" cy="685800"/>
                  </a:xfrm>
                  <a:prstGeom prst="rect">
                    <a:avLst/>
                  </a:prstGeom>
                  <a:noFill/>
                  <a:ln>
                    <a:noFill/>
                  </a:ln>
                </pic:spPr>
              </pic:pic>
            </a:graphicData>
          </a:graphic>
        </wp:inline>
      </w:drawing>
    </w:r>
    <w:r w:rsidR="001060EA" w:rsidRPr="00B975A2">
      <w:rPr>
        <w:color w:val="FF0000"/>
        <w:sz w:val="24"/>
      </w:rPr>
      <w:t xml:space="preserve"> </w:t>
    </w:r>
  </w:p>
  <w:p w:rsidR="00B975A2" w:rsidRDefault="00B975A2" w:rsidP="009873A1">
    <w:pPr>
      <w:pStyle w:val="Header"/>
    </w:pPr>
  </w:p>
  <w:p w:rsidR="00B975A2" w:rsidRDefault="00B97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2A8B84"/>
    <w:lvl w:ilvl="0">
      <w:start w:val="1"/>
      <w:numFmt w:val="decimal"/>
      <w:lvlText w:val="%1."/>
      <w:lvlJc w:val="left"/>
      <w:pPr>
        <w:tabs>
          <w:tab w:val="num" w:pos="1800"/>
        </w:tabs>
        <w:ind w:left="1800" w:hanging="360"/>
      </w:pPr>
    </w:lvl>
  </w:abstractNum>
  <w:abstractNum w:abstractNumId="1">
    <w:nsid w:val="FFFFFF7D"/>
    <w:multiLevelType w:val="singleLevel"/>
    <w:tmpl w:val="4B7A15A2"/>
    <w:lvl w:ilvl="0">
      <w:start w:val="1"/>
      <w:numFmt w:val="decimal"/>
      <w:lvlText w:val="%1."/>
      <w:lvlJc w:val="left"/>
      <w:pPr>
        <w:tabs>
          <w:tab w:val="num" w:pos="1440"/>
        </w:tabs>
        <w:ind w:left="1440" w:hanging="360"/>
      </w:pPr>
    </w:lvl>
  </w:abstractNum>
  <w:abstractNum w:abstractNumId="2">
    <w:nsid w:val="FFFFFF7E"/>
    <w:multiLevelType w:val="singleLevel"/>
    <w:tmpl w:val="3F74CDCA"/>
    <w:lvl w:ilvl="0">
      <w:start w:val="1"/>
      <w:numFmt w:val="decimal"/>
      <w:lvlText w:val="%1."/>
      <w:lvlJc w:val="left"/>
      <w:pPr>
        <w:tabs>
          <w:tab w:val="num" w:pos="1080"/>
        </w:tabs>
        <w:ind w:left="1080" w:hanging="360"/>
      </w:pPr>
    </w:lvl>
  </w:abstractNum>
  <w:abstractNum w:abstractNumId="3">
    <w:nsid w:val="FFFFFF7F"/>
    <w:multiLevelType w:val="singleLevel"/>
    <w:tmpl w:val="A94A3154"/>
    <w:lvl w:ilvl="0">
      <w:start w:val="1"/>
      <w:numFmt w:val="decimal"/>
      <w:lvlText w:val="%1."/>
      <w:lvlJc w:val="left"/>
      <w:pPr>
        <w:tabs>
          <w:tab w:val="num" w:pos="720"/>
        </w:tabs>
        <w:ind w:left="720" w:hanging="360"/>
      </w:pPr>
    </w:lvl>
  </w:abstractNum>
  <w:abstractNum w:abstractNumId="4">
    <w:nsid w:val="FFFFFF80"/>
    <w:multiLevelType w:val="singleLevel"/>
    <w:tmpl w:val="113CB1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568D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1EE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FEC8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A5E4E"/>
    <w:lvl w:ilvl="0">
      <w:start w:val="1"/>
      <w:numFmt w:val="decimal"/>
      <w:lvlText w:val="%1."/>
      <w:lvlJc w:val="left"/>
      <w:pPr>
        <w:tabs>
          <w:tab w:val="num" w:pos="360"/>
        </w:tabs>
        <w:ind w:left="360" w:hanging="360"/>
      </w:pPr>
    </w:lvl>
  </w:abstractNum>
  <w:abstractNum w:abstractNumId="9">
    <w:nsid w:val="FFFFFF89"/>
    <w:multiLevelType w:val="singleLevel"/>
    <w:tmpl w:val="CC94DC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0"/>
    <w:rsid w:val="00032C5F"/>
    <w:rsid w:val="00057F4A"/>
    <w:rsid w:val="001060EA"/>
    <w:rsid w:val="002A4D75"/>
    <w:rsid w:val="002B4C13"/>
    <w:rsid w:val="0030428D"/>
    <w:rsid w:val="00350DA7"/>
    <w:rsid w:val="006579B0"/>
    <w:rsid w:val="007028D1"/>
    <w:rsid w:val="00760BC1"/>
    <w:rsid w:val="0083060F"/>
    <w:rsid w:val="00837DF8"/>
    <w:rsid w:val="0085424E"/>
    <w:rsid w:val="008D27F0"/>
    <w:rsid w:val="00971423"/>
    <w:rsid w:val="009873A1"/>
    <w:rsid w:val="00AA2C3C"/>
    <w:rsid w:val="00B85E03"/>
    <w:rsid w:val="00B975A2"/>
    <w:rsid w:val="00BE1D99"/>
    <w:rsid w:val="00BE4E79"/>
    <w:rsid w:val="00C671CC"/>
    <w:rsid w:val="00CA7CF4"/>
    <w:rsid w:val="00CB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C1"/>
  </w:style>
  <w:style w:type="paragraph" w:styleId="Heading1">
    <w:name w:val="heading 1"/>
    <w:basedOn w:val="Normal"/>
    <w:next w:val="Normal"/>
    <w:link w:val="Heading1Char"/>
    <w:uiPriority w:val="9"/>
    <w:qFormat/>
    <w:rsid w:val="00B975A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75A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75A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75A2"/>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4C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C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C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C1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B4C1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B0"/>
  </w:style>
  <w:style w:type="paragraph" w:styleId="Footer">
    <w:name w:val="footer"/>
    <w:basedOn w:val="Normal"/>
    <w:link w:val="FooterChar"/>
    <w:uiPriority w:val="99"/>
    <w:unhideWhenUsed/>
    <w:rsid w:val="0065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B0"/>
  </w:style>
  <w:style w:type="table" w:styleId="TableGrid">
    <w:name w:val="Table Grid"/>
    <w:basedOn w:val="TableNormal"/>
    <w:uiPriority w:val="59"/>
    <w:rsid w:val="0065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79B0"/>
    <w:rPr>
      <w:color w:val="00B0F0"/>
      <w:u w:val="single"/>
    </w:rPr>
  </w:style>
  <w:style w:type="paragraph" w:styleId="BalloonText">
    <w:name w:val="Balloon Text"/>
    <w:basedOn w:val="Normal"/>
    <w:link w:val="BalloonTextChar"/>
    <w:uiPriority w:val="99"/>
    <w:semiHidden/>
    <w:unhideWhenUsed/>
    <w:rsid w:val="0076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C1"/>
    <w:rPr>
      <w:rFonts w:ascii="Tahoma" w:hAnsi="Tahoma" w:cs="Tahoma"/>
      <w:sz w:val="16"/>
      <w:szCs w:val="16"/>
    </w:rPr>
  </w:style>
  <w:style w:type="paragraph" w:styleId="Title">
    <w:name w:val="Title"/>
    <w:basedOn w:val="Normal"/>
    <w:next w:val="Normal"/>
    <w:link w:val="TitleChar"/>
    <w:qFormat/>
    <w:rsid w:val="002B4C13"/>
    <w:pP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rsid w:val="002B4C13"/>
    <w:rPr>
      <w:rFonts w:asciiTheme="majorHAnsi" w:eastAsiaTheme="majorEastAsia" w:hAnsiTheme="majorHAnsi" w:cstheme="majorBidi"/>
      <w:color w:val="17365D" w:themeColor="text2" w:themeShade="BF"/>
      <w:spacing w:val="5"/>
      <w:kern w:val="28"/>
      <w:sz w:val="32"/>
      <w:szCs w:val="52"/>
    </w:rPr>
  </w:style>
  <w:style w:type="character" w:customStyle="1" w:styleId="Heading9Char">
    <w:name w:val="Heading 9 Char"/>
    <w:basedOn w:val="DefaultParagraphFont"/>
    <w:link w:val="Heading9"/>
    <w:uiPriority w:val="9"/>
    <w:semiHidden/>
    <w:rsid w:val="002B4C13"/>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B4C13"/>
    <w:rPr>
      <w:rFonts w:asciiTheme="majorHAnsi" w:eastAsiaTheme="majorEastAsia" w:hAnsiTheme="majorHAnsi" w:cstheme="majorBidi"/>
      <w:color w:val="404040" w:themeColor="text1" w:themeTint="BF"/>
      <w:szCs w:val="20"/>
    </w:rPr>
  </w:style>
  <w:style w:type="character" w:customStyle="1" w:styleId="Heading7Char">
    <w:name w:val="Heading 7 Char"/>
    <w:basedOn w:val="DefaultParagraphFont"/>
    <w:link w:val="Heading7"/>
    <w:uiPriority w:val="9"/>
    <w:semiHidden/>
    <w:rsid w:val="002B4C1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B4C13"/>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B4C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975A2"/>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B975A2"/>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B975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975A2"/>
    <w:rPr>
      <w:rFonts w:asciiTheme="majorHAnsi" w:eastAsiaTheme="majorEastAsia" w:hAnsiTheme="majorHAnsi" w:cstheme="majorBidi"/>
      <w:b/>
      <w:bCs/>
      <w:sz w:val="28"/>
      <w:szCs w:val="28"/>
    </w:rPr>
  </w:style>
  <w:style w:type="paragraph" w:styleId="FootnoteText">
    <w:name w:val="footnote text"/>
    <w:aliases w:val="ft,fn,fnt"/>
    <w:basedOn w:val="Normal"/>
    <w:link w:val="FootnoteTextChar"/>
    <w:uiPriority w:val="99"/>
    <w:unhideWhenUsed/>
    <w:rsid w:val="00B975A2"/>
    <w:pPr>
      <w:spacing w:after="0" w:line="240" w:lineRule="auto"/>
    </w:pPr>
    <w:rPr>
      <w:szCs w:val="20"/>
    </w:rPr>
  </w:style>
  <w:style w:type="character" w:customStyle="1" w:styleId="FootnoteTextChar">
    <w:name w:val="Footnote Text Char"/>
    <w:aliases w:val="ft Char,fn Char,fnt Char"/>
    <w:basedOn w:val="DefaultParagraphFont"/>
    <w:link w:val="FootnoteText"/>
    <w:uiPriority w:val="99"/>
    <w:rsid w:val="00B975A2"/>
    <w:rPr>
      <w:szCs w:val="20"/>
    </w:rPr>
  </w:style>
  <w:style w:type="character" w:styleId="FootnoteReference">
    <w:name w:val="footnote reference"/>
    <w:basedOn w:val="DefaultParagraphFont"/>
    <w:uiPriority w:val="99"/>
    <w:unhideWhenUsed/>
    <w:rsid w:val="0030428D"/>
    <w:rPr>
      <w:vertAlign w:val="superscript"/>
    </w:rPr>
  </w:style>
  <w:style w:type="character" w:styleId="FollowedHyperlink">
    <w:name w:val="FollowedHyperlink"/>
    <w:basedOn w:val="DefaultParagraphFont"/>
    <w:uiPriority w:val="99"/>
    <w:semiHidden/>
    <w:unhideWhenUsed/>
    <w:rsid w:val="00B975A2"/>
    <w:rPr>
      <w:color w:val="00B0F0"/>
      <w:u w:val="single"/>
    </w:rPr>
  </w:style>
  <w:style w:type="paragraph" w:styleId="EndnoteText">
    <w:name w:val="endnote text"/>
    <w:basedOn w:val="Normal"/>
    <w:link w:val="EndnoteTextChar"/>
    <w:uiPriority w:val="99"/>
    <w:semiHidden/>
    <w:unhideWhenUsed/>
    <w:rsid w:val="00B975A2"/>
    <w:pPr>
      <w:spacing w:after="0" w:line="240" w:lineRule="auto"/>
    </w:pPr>
    <w:rPr>
      <w:szCs w:val="20"/>
    </w:rPr>
  </w:style>
  <w:style w:type="character" w:customStyle="1" w:styleId="EndnoteTextChar">
    <w:name w:val="Endnote Text Char"/>
    <w:basedOn w:val="DefaultParagraphFont"/>
    <w:link w:val="EndnoteText"/>
    <w:uiPriority w:val="99"/>
    <w:semiHidden/>
    <w:rsid w:val="00B975A2"/>
    <w:rPr>
      <w:szCs w:val="20"/>
    </w:rPr>
  </w:style>
  <w:style w:type="character" w:styleId="Emphasis">
    <w:name w:val="Emphasis"/>
    <w:basedOn w:val="DefaultParagraphFont"/>
    <w:uiPriority w:val="20"/>
    <w:qFormat/>
    <w:rsid w:val="00106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C1"/>
  </w:style>
  <w:style w:type="paragraph" w:styleId="Heading1">
    <w:name w:val="heading 1"/>
    <w:basedOn w:val="Normal"/>
    <w:next w:val="Normal"/>
    <w:link w:val="Heading1Char"/>
    <w:uiPriority w:val="9"/>
    <w:qFormat/>
    <w:rsid w:val="00B975A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75A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75A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75A2"/>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4C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C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C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C1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B4C1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B0"/>
  </w:style>
  <w:style w:type="paragraph" w:styleId="Footer">
    <w:name w:val="footer"/>
    <w:basedOn w:val="Normal"/>
    <w:link w:val="FooterChar"/>
    <w:uiPriority w:val="99"/>
    <w:unhideWhenUsed/>
    <w:rsid w:val="0065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B0"/>
  </w:style>
  <w:style w:type="table" w:styleId="TableGrid">
    <w:name w:val="Table Grid"/>
    <w:basedOn w:val="TableNormal"/>
    <w:uiPriority w:val="59"/>
    <w:rsid w:val="0065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79B0"/>
    <w:rPr>
      <w:color w:val="00B0F0"/>
      <w:u w:val="single"/>
    </w:rPr>
  </w:style>
  <w:style w:type="paragraph" w:styleId="BalloonText">
    <w:name w:val="Balloon Text"/>
    <w:basedOn w:val="Normal"/>
    <w:link w:val="BalloonTextChar"/>
    <w:uiPriority w:val="99"/>
    <w:semiHidden/>
    <w:unhideWhenUsed/>
    <w:rsid w:val="0076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C1"/>
    <w:rPr>
      <w:rFonts w:ascii="Tahoma" w:hAnsi="Tahoma" w:cs="Tahoma"/>
      <w:sz w:val="16"/>
      <w:szCs w:val="16"/>
    </w:rPr>
  </w:style>
  <w:style w:type="paragraph" w:styleId="Title">
    <w:name w:val="Title"/>
    <w:basedOn w:val="Normal"/>
    <w:next w:val="Normal"/>
    <w:link w:val="TitleChar"/>
    <w:qFormat/>
    <w:rsid w:val="002B4C13"/>
    <w:pP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rsid w:val="002B4C13"/>
    <w:rPr>
      <w:rFonts w:asciiTheme="majorHAnsi" w:eastAsiaTheme="majorEastAsia" w:hAnsiTheme="majorHAnsi" w:cstheme="majorBidi"/>
      <w:color w:val="17365D" w:themeColor="text2" w:themeShade="BF"/>
      <w:spacing w:val="5"/>
      <w:kern w:val="28"/>
      <w:sz w:val="32"/>
      <w:szCs w:val="52"/>
    </w:rPr>
  </w:style>
  <w:style w:type="character" w:customStyle="1" w:styleId="Heading9Char">
    <w:name w:val="Heading 9 Char"/>
    <w:basedOn w:val="DefaultParagraphFont"/>
    <w:link w:val="Heading9"/>
    <w:uiPriority w:val="9"/>
    <w:semiHidden/>
    <w:rsid w:val="002B4C13"/>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B4C13"/>
    <w:rPr>
      <w:rFonts w:asciiTheme="majorHAnsi" w:eastAsiaTheme="majorEastAsia" w:hAnsiTheme="majorHAnsi" w:cstheme="majorBidi"/>
      <w:color w:val="404040" w:themeColor="text1" w:themeTint="BF"/>
      <w:szCs w:val="20"/>
    </w:rPr>
  </w:style>
  <w:style w:type="character" w:customStyle="1" w:styleId="Heading7Char">
    <w:name w:val="Heading 7 Char"/>
    <w:basedOn w:val="DefaultParagraphFont"/>
    <w:link w:val="Heading7"/>
    <w:uiPriority w:val="9"/>
    <w:semiHidden/>
    <w:rsid w:val="002B4C1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B4C13"/>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B4C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975A2"/>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B975A2"/>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B975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975A2"/>
    <w:rPr>
      <w:rFonts w:asciiTheme="majorHAnsi" w:eastAsiaTheme="majorEastAsia" w:hAnsiTheme="majorHAnsi" w:cstheme="majorBidi"/>
      <w:b/>
      <w:bCs/>
      <w:sz w:val="28"/>
      <w:szCs w:val="28"/>
    </w:rPr>
  </w:style>
  <w:style w:type="paragraph" w:styleId="FootnoteText">
    <w:name w:val="footnote text"/>
    <w:aliases w:val="ft,fn,fnt"/>
    <w:basedOn w:val="Normal"/>
    <w:link w:val="FootnoteTextChar"/>
    <w:uiPriority w:val="99"/>
    <w:unhideWhenUsed/>
    <w:rsid w:val="00B975A2"/>
    <w:pPr>
      <w:spacing w:after="0" w:line="240" w:lineRule="auto"/>
    </w:pPr>
    <w:rPr>
      <w:szCs w:val="20"/>
    </w:rPr>
  </w:style>
  <w:style w:type="character" w:customStyle="1" w:styleId="FootnoteTextChar">
    <w:name w:val="Footnote Text Char"/>
    <w:aliases w:val="ft Char,fn Char,fnt Char"/>
    <w:basedOn w:val="DefaultParagraphFont"/>
    <w:link w:val="FootnoteText"/>
    <w:uiPriority w:val="99"/>
    <w:rsid w:val="00B975A2"/>
    <w:rPr>
      <w:szCs w:val="20"/>
    </w:rPr>
  </w:style>
  <w:style w:type="character" w:styleId="FootnoteReference">
    <w:name w:val="footnote reference"/>
    <w:basedOn w:val="DefaultParagraphFont"/>
    <w:uiPriority w:val="99"/>
    <w:unhideWhenUsed/>
    <w:rsid w:val="0030428D"/>
    <w:rPr>
      <w:vertAlign w:val="superscript"/>
    </w:rPr>
  </w:style>
  <w:style w:type="character" w:styleId="FollowedHyperlink">
    <w:name w:val="FollowedHyperlink"/>
    <w:basedOn w:val="DefaultParagraphFont"/>
    <w:uiPriority w:val="99"/>
    <w:semiHidden/>
    <w:unhideWhenUsed/>
    <w:rsid w:val="00B975A2"/>
    <w:rPr>
      <w:color w:val="00B0F0"/>
      <w:u w:val="single"/>
    </w:rPr>
  </w:style>
  <w:style w:type="paragraph" w:styleId="EndnoteText">
    <w:name w:val="endnote text"/>
    <w:basedOn w:val="Normal"/>
    <w:link w:val="EndnoteTextChar"/>
    <w:uiPriority w:val="99"/>
    <w:semiHidden/>
    <w:unhideWhenUsed/>
    <w:rsid w:val="00B975A2"/>
    <w:pPr>
      <w:spacing w:after="0" w:line="240" w:lineRule="auto"/>
    </w:pPr>
    <w:rPr>
      <w:szCs w:val="20"/>
    </w:rPr>
  </w:style>
  <w:style w:type="character" w:customStyle="1" w:styleId="EndnoteTextChar">
    <w:name w:val="Endnote Text Char"/>
    <w:basedOn w:val="DefaultParagraphFont"/>
    <w:link w:val="EndnoteText"/>
    <w:uiPriority w:val="99"/>
    <w:semiHidden/>
    <w:rsid w:val="00B975A2"/>
    <w:rPr>
      <w:szCs w:val="20"/>
    </w:rPr>
  </w:style>
  <w:style w:type="character" w:styleId="Emphasis">
    <w:name w:val="Emphasis"/>
    <w:basedOn w:val="DefaultParagraphFont"/>
    <w:uiPriority w:val="20"/>
    <w:qFormat/>
    <w:rsid w:val="00106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law.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healthla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DF49-6200-48CF-A312-F9F694F2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Shupe</dc:creator>
  <cp:lastModifiedBy>sarah</cp:lastModifiedBy>
  <cp:revision>4</cp:revision>
  <cp:lastPrinted>2013-11-13T17:10:00Z</cp:lastPrinted>
  <dcterms:created xsi:type="dcterms:W3CDTF">2013-11-13T17:10:00Z</dcterms:created>
  <dcterms:modified xsi:type="dcterms:W3CDTF">2013-11-13T17:12:00Z</dcterms:modified>
</cp:coreProperties>
</file>