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A1" w:rsidRDefault="001948A1" w:rsidP="007E4F3A">
      <w:pPr>
        <w:pStyle w:val="Title"/>
        <w:jc w:val="center"/>
      </w:pPr>
      <w:bookmarkStart w:id="0" w:name="_GoBack"/>
      <w:bookmarkEnd w:id="0"/>
    </w:p>
    <w:p w:rsidR="001948A1" w:rsidRDefault="001948A1" w:rsidP="007E4F3A">
      <w:pPr>
        <w:pStyle w:val="Title"/>
        <w:jc w:val="center"/>
      </w:pPr>
    </w:p>
    <w:p w:rsidR="007E4F3A" w:rsidRDefault="00BE71BC" w:rsidP="007E4F3A">
      <w:pPr>
        <w:pStyle w:val="Title"/>
        <w:jc w:val="center"/>
      </w:pPr>
      <w:r>
        <w:t>Issue Brief</w:t>
      </w:r>
      <w:r w:rsidR="007E4F3A">
        <w:t xml:space="preserve"> </w:t>
      </w:r>
    </w:p>
    <w:p w:rsidR="007E4F3A" w:rsidRDefault="007E4F3A" w:rsidP="007E4F3A">
      <w:pPr>
        <w:pStyle w:val="Title"/>
        <w:jc w:val="center"/>
      </w:pPr>
      <w:r>
        <w:t xml:space="preserve">Private Enforcement of the Medicaid Act </w:t>
      </w:r>
    </w:p>
    <w:p w:rsidR="007E4F3A" w:rsidRPr="007E4F3A" w:rsidRDefault="007E4F3A" w:rsidP="007E4F3A">
      <w:pPr>
        <w:pStyle w:val="Title"/>
        <w:jc w:val="center"/>
      </w:pPr>
      <w:r>
        <w:t xml:space="preserve">Pursuant to 42 U.S.C. </w:t>
      </w:r>
      <w:r>
        <w:rPr>
          <w:rFonts w:cstheme="majorHAnsi"/>
        </w:rPr>
        <w:t>§ 1983</w:t>
      </w:r>
      <w:r w:rsidR="00BE71BC">
        <w:rPr>
          <w:rStyle w:val="FootnoteReference"/>
        </w:rPr>
        <w:footnoteReference w:id="1"/>
      </w:r>
    </w:p>
    <w:p w:rsidR="0030428D" w:rsidRPr="00B975A2" w:rsidRDefault="0030428D" w:rsidP="007E4F3A">
      <w:pPr>
        <w:jc w:val="right"/>
        <w:rPr>
          <w:sz w:val="24"/>
        </w:rPr>
      </w:pPr>
      <w:r w:rsidRPr="00B975A2">
        <w:rPr>
          <w:color w:val="002060"/>
          <w:sz w:val="24"/>
        </w:rPr>
        <w:t xml:space="preserve">Prepared By: </w:t>
      </w:r>
      <w:r w:rsidR="007E4F3A">
        <w:rPr>
          <w:color w:val="002060"/>
          <w:sz w:val="24"/>
        </w:rPr>
        <w:t>Jane Perkins</w:t>
      </w:r>
      <w:r w:rsidRPr="00B975A2">
        <w:rPr>
          <w:color w:val="002060"/>
          <w:sz w:val="24"/>
        </w:rPr>
        <w:br/>
        <w:t xml:space="preserve">Date: </w:t>
      </w:r>
      <w:r w:rsidRPr="00B975A2">
        <w:rPr>
          <w:color w:val="002060"/>
          <w:sz w:val="24"/>
        </w:rPr>
        <w:fldChar w:fldCharType="begin"/>
      </w:r>
      <w:r w:rsidRPr="00B975A2">
        <w:rPr>
          <w:color w:val="002060"/>
          <w:sz w:val="24"/>
        </w:rPr>
        <w:instrText xml:space="preserve"> DATE \@ "MMMM d, yyyy" </w:instrText>
      </w:r>
      <w:r w:rsidRPr="00B975A2">
        <w:rPr>
          <w:color w:val="002060"/>
          <w:sz w:val="24"/>
        </w:rPr>
        <w:fldChar w:fldCharType="separate"/>
      </w:r>
      <w:r w:rsidR="00245F12">
        <w:rPr>
          <w:noProof/>
          <w:color w:val="002060"/>
          <w:sz w:val="24"/>
        </w:rPr>
        <w:t>October 29, 2013</w:t>
      </w:r>
      <w:r w:rsidRPr="00B975A2">
        <w:rPr>
          <w:color w:val="002060"/>
          <w:sz w:val="24"/>
        </w:rPr>
        <w:fldChar w:fldCharType="end"/>
      </w:r>
    </w:p>
    <w:p w:rsidR="001948A1" w:rsidRDefault="001948A1"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 xml:space="preserve">The Supreme Court has restricted the ability of private citizens to enforce federal laws pursuant to 42 U.S.C. § 1983. The Court has established a demanding test for private enforcement, in particular in the </w:t>
      </w:r>
      <w:r w:rsidRPr="007E4F3A">
        <w:rPr>
          <w:rFonts w:cstheme="minorHAnsi"/>
          <w:i/>
          <w:sz w:val="24"/>
          <w:szCs w:val="24"/>
        </w:rPr>
        <w:t>Gonzaga University v. Doe</w:t>
      </w:r>
      <w:r w:rsidRPr="007E4F3A">
        <w:rPr>
          <w:rFonts w:cstheme="minorHAnsi"/>
          <w:sz w:val="24"/>
          <w:szCs w:val="24"/>
        </w:rPr>
        <w:t xml:space="preserve"> and </w:t>
      </w:r>
      <w:r w:rsidRPr="007E4F3A">
        <w:rPr>
          <w:rFonts w:cstheme="minorHAnsi"/>
          <w:i/>
          <w:sz w:val="24"/>
          <w:szCs w:val="24"/>
        </w:rPr>
        <w:t>Blessing v. Freestone</w:t>
      </w:r>
      <w:r w:rsidRPr="007E4F3A">
        <w:rPr>
          <w:rFonts w:cstheme="minorHAnsi"/>
          <w:sz w:val="24"/>
          <w:szCs w:val="24"/>
        </w:rPr>
        <w:t xml:space="preserve"> cases. The </w:t>
      </w:r>
      <w:r w:rsidRPr="007E4F3A">
        <w:rPr>
          <w:rFonts w:cstheme="minorHAnsi"/>
          <w:i/>
          <w:sz w:val="24"/>
          <w:szCs w:val="24"/>
        </w:rPr>
        <w:t>Blessing</w:t>
      </w:r>
      <w:r w:rsidRPr="007E4F3A">
        <w:rPr>
          <w:rFonts w:cstheme="minorHAnsi"/>
          <w:sz w:val="24"/>
          <w:szCs w:val="24"/>
        </w:rPr>
        <w:t xml:space="preserve"> case reflects the majority’s particular interest in narrowing private enforcement of laws enacted by Congress pursuant to the Spending Clause of the U.S. Constitution. The Medicaid Act is a Spending Clause program.</w:t>
      </w:r>
    </w:p>
    <w:p w:rsidR="001948A1" w:rsidRPr="007E4F3A" w:rsidRDefault="001948A1"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 xml:space="preserve">Since 2002, when </w:t>
      </w:r>
      <w:r w:rsidRPr="007E4F3A">
        <w:rPr>
          <w:rFonts w:cstheme="minorHAnsi"/>
          <w:i/>
          <w:sz w:val="24"/>
          <w:szCs w:val="24"/>
        </w:rPr>
        <w:t>Gonzaga</w:t>
      </w:r>
      <w:r w:rsidRPr="007E4F3A">
        <w:rPr>
          <w:rFonts w:cstheme="minorHAnsi"/>
          <w:sz w:val="24"/>
          <w:szCs w:val="24"/>
        </w:rPr>
        <w:t xml:space="preserve"> was decided, the federal courts of appeal have decided 41 Medicaid cases. The appellate courts have consistently applied the test for private enforcement, uniformly finding some Medicaid provisions enforceable and others not. To date, there are no splits among the circuit courts. Significantly, § 1983 remains the primary vehicle for enforcing a number of the Medicaid Act’s most important consumer protections. Moreover, the Supreme Court has not hastened to revisit the statute. During its 2012-2013 Term, for example, the Court denied petitions for certiorari filed by state attorneys seeking to overturn appellate courts’ enforcement decisions in four Medicaid cases. </w:t>
      </w:r>
    </w:p>
    <w:p w:rsidR="001948A1" w:rsidRPr="007E4F3A" w:rsidRDefault="001948A1"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This Fact Sheet will provide background on § 1983 and the leading Supreme Court cases discussing it.</w:t>
      </w:r>
      <w:r w:rsidRPr="007E4F3A">
        <w:rPr>
          <w:rStyle w:val="FootnoteReference"/>
          <w:rFonts w:cstheme="minorHAnsi"/>
          <w:sz w:val="24"/>
          <w:szCs w:val="24"/>
        </w:rPr>
        <w:footnoteReference w:id="2"/>
      </w:r>
      <w:r w:rsidRPr="007E4F3A">
        <w:rPr>
          <w:rFonts w:cstheme="minorHAnsi"/>
          <w:sz w:val="24"/>
          <w:szCs w:val="24"/>
        </w:rPr>
        <w:t xml:space="preserve">  It will then provide a current point-in-time assessment of Medicaid Act enforcement in the circuit courts of appeal and conclude by offering recommendations for lawyers who are considering a § 1983 Medicaid claim.  </w:t>
      </w:r>
    </w:p>
    <w:p w:rsidR="001948A1" w:rsidRDefault="001948A1" w:rsidP="001948A1">
      <w:pPr>
        <w:spacing w:after="0" w:line="240" w:lineRule="auto"/>
        <w:ind w:firstLine="720"/>
        <w:rPr>
          <w:rFonts w:cstheme="minorHAnsi"/>
          <w:sz w:val="24"/>
          <w:szCs w:val="24"/>
        </w:rPr>
      </w:pPr>
    </w:p>
    <w:p w:rsidR="001948A1" w:rsidRDefault="001948A1" w:rsidP="001948A1">
      <w:pPr>
        <w:spacing w:after="0" w:line="240" w:lineRule="auto"/>
        <w:ind w:firstLine="720"/>
        <w:rPr>
          <w:rFonts w:cstheme="minorHAnsi"/>
          <w:sz w:val="24"/>
          <w:szCs w:val="24"/>
        </w:rPr>
      </w:pPr>
    </w:p>
    <w:p w:rsidR="001948A1" w:rsidRDefault="001948A1"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b/>
          <w:sz w:val="24"/>
          <w:szCs w:val="24"/>
        </w:rPr>
      </w:pPr>
      <w:r w:rsidRPr="007E4F3A">
        <w:rPr>
          <w:rFonts w:cstheme="minorHAnsi"/>
          <w:b/>
          <w:sz w:val="24"/>
          <w:szCs w:val="24"/>
        </w:rPr>
        <w:t>Background on § 1983</w:t>
      </w:r>
    </w:p>
    <w:p w:rsidR="001948A1" w:rsidRPr="007E4F3A" w:rsidRDefault="001948A1" w:rsidP="001948A1">
      <w:pPr>
        <w:spacing w:after="0" w:line="240" w:lineRule="auto"/>
        <w:ind w:firstLine="720"/>
        <w:rPr>
          <w:rFonts w:cstheme="minorHAnsi"/>
          <w:b/>
          <w:sz w:val="24"/>
          <w:szCs w:val="24"/>
        </w:rPr>
      </w:pPr>
    </w:p>
    <w:p w:rsidR="007E4F3A" w:rsidRDefault="007E4F3A" w:rsidP="001948A1">
      <w:pPr>
        <w:tabs>
          <w:tab w:val="left" w:pos="5040"/>
        </w:tabs>
        <w:spacing w:after="0" w:line="240" w:lineRule="auto"/>
        <w:ind w:firstLine="720"/>
        <w:rPr>
          <w:rFonts w:cstheme="minorHAnsi"/>
          <w:sz w:val="24"/>
          <w:szCs w:val="24"/>
        </w:rPr>
      </w:pPr>
      <w:r w:rsidRPr="007E4F3A">
        <w:rPr>
          <w:rFonts w:cstheme="minorHAnsi"/>
          <w:sz w:val="24"/>
          <w:szCs w:val="24"/>
        </w:rPr>
        <w:t>At the time of our Nation’s founding, the constitutional framers worked against the backdrop of English laws and principles. Among these was the “invariable principle ... that every right, when withheld, must have a remedy, and every injury its proper redress.”</w:t>
      </w:r>
      <w:r w:rsidRPr="007E4F3A">
        <w:rPr>
          <w:rStyle w:val="FootnoteReference"/>
          <w:rFonts w:cstheme="minorHAnsi"/>
          <w:sz w:val="24"/>
          <w:szCs w:val="24"/>
        </w:rPr>
        <w:footnoteReference w:id="3"/>
      </w:r>
      <w:r w:rsidRPr="007E4F3A">
        <w:rPr>
          <w:rFonts w:cstheme="minorHAnsi"/>
          <w:sz w:val="24"/>
          <w:szCs w:val="24"/>
        </w:rPr>
        <w:t xml:space="preserve"> The Supreme Court’s landmark decision, </w:t>
      </w:r>
      <w:r w:rsidRPr="007E4F3A">
        <w:rPr>
          <w:rFonts w:cstheme="minorHAnsi"/>
          <w:i/>
          <w:sz w:val="24"/>
          <w:szCs w:val="24"/>
        </w:rPr>
        <w:t>Marbury v. Madison,</w:t>
      </w:r>
      <w:r w:rsidRPr="007E4F3A">
        <w:rPr>
          <w:rFonts w:cstheme="minorHAnsi"/>
          <w:sz w:val="24"/>
          <w:szCs w:val="24"/>
        </w:rPr>
        <w:t xml:space="preserve"> reflects this notion, stating that “the very essence of civil liberty” is the “right of every individual to claim the protection of the law, whenever he receives an injury. One of the first duties of government is to afford that protection.”</w:t>
      </w:r>
      <w:r w:rsidRPr="007E4F3A">
        <w:rPr>
          <w:rStyle w:val="FootnoteReference"/>
          <w:rFonts w:cstheme="minorHAnsi"/>
          <w:sz w:val="24"/>
          <w:szCs w:val="24"/>
        </w:rPr>
        <w:footnoteReference w:id="4"/>
      </w:r>
    </w:p>
    <w:p w:rsidR="001948A1" w:rsidRPr="007E4F3A" w:rsidRDefault="001948A1" w:rsidP="001948A1">
      <w:pPr>
        <w:tabs>
          <w:tab w:val="left" w:pos="5040"/>
        </w:tabs>
        <w:spacing w:after="0" w:line="240" w:lineRule="auto"/>
        <w:ind w:firstLine="720"/>
        <w:rPr>
          <w:rFonts w:cstheme="minorHAnsi"/>
          <w:sz w:val="24"/>
          <w:szCs w:val="24"/>
        </w:rPr>
      </w:pPr>
    </w:p>
    <w:p w:rsidR="007E4F3A" w:rsidRDefault="007E4F3A" w:rsidP="001948A1">
      <w:pPr>
        <w:tabs>
          <w:tab w:val="left" w:pos="5040"/>
        </w:tabs>
        <w:spacing w:after="0" w:line="240" w:lineRule="auto"/>
        <w:ind w:firstLine="720"/>
        <w:rPr>
          <w:rFonts w:cstheme="minorHAnsi"/>
          <w:sz w:val="24"/>
          <w:szCs w:val="24"/>
        </w:rPr>
      </w:pPr>
      <w:r w:rsidRPr="007E4F3A">
        <w:rPr>
          <w:rFonts w:cstheme="minorHAnsi"/>
          <w:sz w:val="24"/>
          <w:szCs w:val="24"/>
        </w:rPr>
        <w:t>Over the years, private individuals have gone to court to obtain prospective injunctive relief when they are being harmed by state actions that are inconsistent with federal law. Some of these federal laws were enacted by Congress pursuant to the Spending Clause of the Constitution. The Social Security Act, of which Medicaid is a part, is an example of a Spending Clause enactment. Like many other Spending Clause enactments, the Medicaid Act makes federal funding available to states that participate in Medicaid consistent with the requirements of federal law and authorizes the federal government to withhold or terminate federal funding to a state that is not operating according to the federal requirements.</w:t>
      </w:r>
      <w:r w:rsidRPr="007E4F3A">
        <w:rPr>
          <w:rStyle w:val="FootnoteReference"/>
          <w:rFonts w:cstheme="minorHAnsi"/>
          <w:sz w:val="24"/>
          <w:szCs w:val="24"/>
        </w:rPr>
        <w:footnoteReference w:id="5"/>
      </w:r>
      <w:r w:rsidRPr="007E4F3A">
        <w:rPr>
          <w:rFonts w:cstheme="minorHAnsi"/>
          <w:sz w:val="24"/>
          <w:szCs w:val="24"/>
        </w:rPr>
        <w:t xml:space="preserve"> When it added Medicaid to the Social Security Act in 1965, Congress did not include a provision authorizing private (as opposed to federal) enforcement by program beneficiaries and/or applicants. But in enacting Medicaid, Congress acted with the understanding that courts would “provide such remedies as are necessary to make effective the congressional purpose.”</w:t>
      </w:r>
      <w:r w:rsidRPr="007E4F3A">
        <w:rPr>
          <w:rStyle w:val="FootnoteReference"/>
          <w:rFonts w:cstheme="minorHAnsi"/>
          <w:sz w:val="24"/>
          <w:szCs w:val="24"/>
        </w:rPr>
        <w:footnoteReference w:id="6"/>
      </w:r>
    </w:p>
    <w:p w:rsidR="001948A1" w:rsidRPr="007E4F3A" w:rsidRDefault="001948A1" w:rsidP="001948A1">
      <w:pPr>
        <w:tabs>
          <w:tab w:val="left" w:pos="5040"/>
        </w:tabs>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Even without an express cause of action in the original Social Security Act, program beneficiaries enforced various titles of the Act pursuant to a civil rights statute, 42 U.S.C. § 1983 (§ 1983). Section 1983 provides an express cause of action to individuals when a state actor is depriving them of their rights under the U.S. Constitution or a federal law.</w:t>
      </w:r>
      <w:r w:rsidRPr="007E4F3A">
        <w:rPr>
          <w:rStyle w:val="FootnoteReference"/>
          <w:rFonts w:cstheme="minorHAnsi"/>
          <w:sz w:val="24"/>
          <w:szCs w:val="24"/>
        </w:rPr>
        <w:footnoteReference w:id="7"/>
      </w:r>
      <w:r w:rsidRPr="007E4F3A">
        <w:rPr>
          <w:rFonts w:cstheme="minorHAnsi"/>
          <w:sz w:val="24"/>
          <w:szCs w:val="24"/>
        </w:rPr>
        <w:t xml:space="preserve"> For example, in</w:t>
      </w:r>
      <w:r w:rsidRPr="007E4F3A">
        <w:rPr>
          <w:rFonts w:cstheme="minorHAnsi"/>
          <w:i/>
          <w:iCs/>
          <w:sz w:val="24"/>
          <w:szCs w:val="24"/>
        </w:rPr>
        <w:t xml:space="preserve"> King v. Smith</w:t>
      </w:r>
      <w:r w:rsidRPr="007E4F3A">
        <w:rPr>
          <w:rFonts w:cstheme="minorHAnsi"/>
          <w:sz w:val="24"/>
          <w:szCs w:val="24"/>
        </w:rPr>
        <w:t>, the Court allowed welfare recipients to enforce the “reasonable promptness” provision of the Social Security Act’s</w:t>
      </w:r>
      <w:r>
        <w:rPr>
          <w:rFonts w:cstheme="minorHAnsi"/>
          <w:sz w:val="24"/>
          <w:szCs w:val="24"/>
        </w:rPr>
        <w:t xml:space="preserve"> </w:t>
      </w:r>
      <w:r w:rsidRPr="007E4F3A">
        <w:rPr>
          <w:rFonts w:cstheme="minorHAnsi"/>
          <w:sz w:val="24"/>
          <w:szCs w:val="24"/>
        </w:rPr>
        <w:lastRenderedPageBreak/>
        <w:t>welfare law pursuant to § 1983.</w:t>
      </w:r>
      <w:r w:rsidRPr="007E4F3A">
        <w:rPr>
          <w:rStyle w:val="FootnoteReference"/>
          <w:rFonts w:cstheme="minorHAnsi"/>
          <w:sz w:val="24"/>
          <w:szCs w:val="24"/>
        </w:rPr>
        <w:footnoteReference w:id="8"/>
      </w:r>
      <w:r w:rsidRPr="007E4F3A">
        <w:rPr>
          <w:rFonts w:cstheme="minorHAnsi"/>
          <w:sz w:val="24"/>
          <w:szCs w:val="24"/>
        </w:rPr>
        <w:t xml:space="preserve"> In </w:t>
      </w:r>
      <w:r w:rsidRPr="007E4F3A">
        <w:rPr>
          <w:rFonts w:cstheme="minorHAnsi"/>
          <w:i/>
          <w:iCs/>
          <w:sz w:val="24"/>
          <w:szCs w:val="24"/>
        </w:rPr>
        <w:t xml:space="preserve">Maine v. </w:t>
      </w:r>
      <w:proofErr w:type="spellStart"/>
      <w:r w:rsidRPr="007E4F3A">
        <w:rPr>
          <w:rFonts w:cstheme="minorHAnsi"/>
          <w:i/>
          <w:iCs/>
          <w:sz w:val="24"/>
          <w:szCs w:val="24"/>
        </w:rPr>
        <w:t>Thiboutot</w:t>
      </w:r>
      <w:proofErr w:type="spellEnd"/>
      <w:r w:rsidRPr="007E4F3A">
        <w:rPr>
          <w:rFonts w:cstheme="minorHAnsi"/>
          <w:sz w:val="24"/>
          <w:szCs w:val="24"/>
        </w:rPr>
        <w:t>, the Court again addressed enforcement under § 1983 and held that “the phrase ‘and laws’ means what it says” and, thus, § 1983 enforcement applies not only to constitutional rights but also to rights defined in federal statutes.</w:t>
      </w:r>
      <w:r w:rsidRPr="007E4F3A">
        <w:rPr>
          <w:rStyle w:val="FootnoteReference"/>
          <w:rFonts w:cstheme="minorHAnsi"/>
          <w:sz w:val="24"/>
          <w:szCs w:val="24"/>
        </w:rPr>
        <w:footnoteReference w:id="9"/>
      </w:r>
      <w:r w:rsidRPr="007E4F3A">
        <w:rPr>
          <w:rFonts w:cstheme="minorHAnsi"/>
          <w:sz w:val="24"/>
          <w:szCs w:val="24"/>
        </w:rPr>
        <w:t xml:space="preserve"> </w:t>
      </w:r>
    </w:p>
    <w:p w:rsidR="001948A1" w:rsidRPr="007E4F3A" w:rsidRDefault="001948A1" w:rsidP="001948A1">
      <w:pPr>
        <w:spacing w:after="0" w:line="240" w:lineRule="auto"/>
        <w:ind w:firstLine="720"/>
        <w:rPr>
          <w:rFonts w:cstheme="minorHAnsi"/>
          <w:sz w:val="24"/>
          <w:szCs w:val="24"/>
        </w:rPr>
      </w:pPr>
    </w:p>
    <w:p w:rsidR="007E4F3A" w:rsidRDefault="007E4F3A" w:rsidP="001948A1">
      <w:pPr>
        <w:tabs>
          <w:tab w:val="left" w:pos="5040"/>
        </w:tabs>
        <w:spacing w:after="0" w:line="240" w:lineRule="auto"/>
        <w:ind w:firstLine="720"/>
        <w:rPr>
          <w:rFonts w:cstheme="minorHAnsi"/>
          <w:sz w:val="24"/>
          <w:szCs w:val="24"/>
        </w:rPr>
      </w:pPr>
      <w:r w:rsidRPr="007E4F3A">
        <w:rPr>
          <w:rFonts w:cstheme="minorHAnsi"/>
          <w:sz w:val="24"/>
          <w:szCs w:val="24"/>
        </w:rPr>
        <w:t>Subsequently, the Court cautioned that § 1983 actions require a plaintiff to assert a violation of a federal “right,” not merely a violation of federal law.</w:t>
      </w:r>
      <w:r w:rsidRPr="007E4F3A">
        <w:rPr>
          <w:rStyle w:val="FootnoteReference"/>
          <w:rFonts w:cstheme="minorHAnsi"/>
          <w:sz w:val="24"/>
          <w:szCs w:val="24"/>
        </w:rPr>
        <w:footnoteReference w:id="10"/>
      </w:r>
      <w:r w:rsidRPr="007E4F3A">
        <w:rPr>
          <w:rFonts w:cstheme="minorHAnsi"/>
          <w:sz w:val="24"/>
          <w:szCs w:val="24"/>
        </w:rPr>
        <w:t xml:space="preserve"> The Supreme Court thereafter announced a three-prong test for lower courts to use to determine whether a federal law creates a right:  (1) Was the federal provision in question intended to benefit the plaintiff; (2) Does the provision contain sufficiently specific language so that a court knows what to enforce; and (3) Does the provision create a binding obligation on the state?</w:t>
      </w:r>
      <w:r w:rsidRPr="007E4F3A">
        <w:rPr>
          <w:rStyle w:val="FootnoteReference"/>
          <w:rFonts w:cstheme="minorHAnsi"/>
          <w:sz w:val="24"/>
          <w:szCs w:val="24"/>
        </w:rPr>
        <w:footnoteReference w:id="11"/>
      </w:r>
      <w:r w:rsidRPr="007E4F3A">
        <w:rPr>
          <w:rFonts w:cstheme="minorHAnsi"/>
          <w:sz w:val="24"/>
          <w:szCs w:val="24"/>
        </w:rPr>
        <w:t xml:space="preserve"> If these questions are answered affirmatively, there is a presumption that the plaintiff can enforce the provision. The defendant can overcome the presumption by showing that Congress has foreclosed enforcement through § 1983, expressly or by including a comprehensive remedial scheme in the substantive federal law.</w:t>
      </w:r>
      <w:r w:rsidRPr="007E4F3A">
        <w:rPr>
          <w:rStyle w:val="FootnoteReference"/>
          <w:rFonts w:cstheme="minorHAnsi"/>
          <w:sz w:val="24"/>
          <w:szCs w:val="24"/>
        </w:rPr>
        <w:footnoteReference w:id="12"/>
      </w:r>
      <w:r w:rsidRPr="007E4F3A">
        <w:rPr>
          <w:rFonts w:cstheme="minorHAnsi"/>
          <w:sz w:val="24"/>
          <w:szCs w:val="24"/>
        </w:rPr>
        <w:t xml:space="preserve">  The</w:t>
      </w:r>
      <w:r>
        <w:rPr>
          <w:rFonts w:cstheme="minorHAnsi"/>
          <w:sz w:val="24"/>
          <w:szCs w:val="24"/>
        </w:rPr>
        <w:t xml:space="preserve"> </w:t>
      </w:r>
      <w:r w:rsidRPr="007E4F3A">
        <w:rPr>
          <w:rFonts w:cstheme="minorHAnsi"/>
          <w:sz w:val="24"/>
          <w:szCs w:val="24"/>
        </w:rPr>
        <w:t>Supreme Court has explicitly held that the Medicaid Act does not include such a remedial scheme.</w:t>
      </w:r>
      <w:r w:rsidRPr="007E4F3A">
        <w:rPr>
          <w:rStyle w:val="FootnoteReference"/>
          <w:rFonts w:cstheme="minorHAnsi"/>
          <w:sz w:val="24"/>
          <w:szCs w:val="24"/>
        </w:rPr>
        <w:footnoteReference w:id="13"/>
      </w:r>
    </w:p>
    <w:p w:rsidR="001948A1" w:rsidRPr="007E4F3A" w:rsidRDefault="001948A1" w:rsidP="001948A1">
      <w:pPr>
        <w:tabs>
          <w:tab w:val="left" w:pos="5040"/>
        </w:tabs>
        <w:spacing w:after="0" w:line="240" w:lineRule="auto"/>
        <w:ind w:firstLine="720"/>
        <w:rPr>
          <w:rFonts w:cstheme="minorHAnsi"/>
          <w:sz w:val="24"/>
          <w:szCs w:val="24"/>
        </w:rPr>
      </w:pPr>
    </w:p>
    <w:p w:rsidR="007E4F3A" w:rsidRDefault="007E4F3A" w:rsidP="001948A1">
      <w:pPr>
        <w:spacing w:after="0" w:line="240" w:lineRule="auto"/>
        <w:rPr>
          <w:rFonts w:cstheme="minorHAnsi"/>
          <w:sz w:val="24"/>
          <w:szCs w:val="24"/>
        </w:rPr>
      </w:pPr>
      <w:r w:rsidRPr="007E4F3A">
        <w:rPr>
          <w:rFonts w:cstheme="minorHAnsi"/>
          <w:sz w:val="24"/>
          <w:szCs w:val="24"/>
        </w:rPr>
        <w:tab/>
        <w:t xml:space="preserve">Subsequently, lower courts applied this three-prong test, finding some federal laws created federal rights and were therefore judicially enforceable while others did </w:t>
      </w:r>
      <w:r w:rsidRPr="007E4F3A">
        <w:rPr>
          <w:rFonts w:cstheme="minorHAnsi"/>
          <w:sz w:val="24"/>
          <w:szCs w:val="24"/>
        </w:rPr>
        <w:lastRenderedPageBreak/>
        <w:t xml:space="preserve">not. Despite this history, recent Supreme Court Justices have been reluctant to allow private individuals to enforce spending clause enactments.  One year after </w:t>
      </w:r>
      <w:r w:rsidRPr="007E4F3A">
        <w:rPr>
          <w:rFonts w:cstheme="minorHAnsi"/>
          <w:i/>
          <w:sz w:val="24"/>
          <w:szCs w:val="24"/>
        </w:rPr>
        <w:t xml:space="preserve">Maine v. </w:t>
      </w:r>
      <w:proofErr w:type="spellStart"/>
      <w:r w:rsidRPr="007E4F3A">
        <w:rPr>
          <w:rFonts w:cstheme="minorHAnsi"/>
          <w:i/>
          <w:sz w:val="24"/>
          <w:szCs w:val="24"/>
        </w:rPr>
        <w:t>Thiboutot</w:t>
      </w:r>
      <w:proofErr w:type="spellEnd"/>
      <w:r w:rsidRPr="007E4F3A">
        <w:rPr>
          <w:rFonts w:cstheme="minorHAnsi"/>
          <w:sz w:val="24"/>
          <w:szCs w:val="24"/>
        </w:rPr>
        <w:t>,</w:t>
      </w:r>
      <w:r w:rsidRPr="007E4F3A">
        <w:rPr>
          <w:rFonts w:cstheme="minorHAnsi"/>
          <w:i/>
          <w:sz w:val="24"/>
          <w:szCs w:val="24"/>
        </w:rPr>
        <w:t xml:space="preserve"> </w:t>
      </w:r>
      <w:r w:rsidRPr="007E4F3A">
        <w:rPr>
          <w:rFonts w:cstheme="minorHAnsi"/>
          <w:sz w:val="24"/>
          <w:szCs w:val="24"/>
        </w:rPr>
        <w:t xml:space="preserve">the Court began to cut back on the right to private enforcement in </w:t>
      </w:r>
      <w:proofErr w:type="spellStart"/>
      <w:r w:rsidRPr="007E4F3A">
        <w:rPr>
          <w:rFonts w:cstheme="minorHAnsi"/>
          <w:i/>
          <w:sz w:val="24"/>
          <w:szCs w:val="24"/>
        </w:rPr>
        <w:t>Pennhurst</w:t>
      </w:r>
      <w:proofErr w:type="spellEnd"/>
      <w:r w:rsidRPr="007E4F3A">
        <w:rPr>
          <w:rFonts w:cstheme="minorHAnsi"/>
          <w:i/>
          <w:sz w:val="24"/>
          <w:szCs w:val="24"/>
        </w:rPr>
        <w:t xml:space="preserve"> State School &amp; Hospital v. </w:t>
      </w:r>
      <w:proofErr w:type="spellStart"/>
      <w:r w:rsidRPr="007E4F3A">
        <w:rPr>
          <w:rFonts w:cstheme="minorHAnsi"/>
          <w:i/>
          <w:sz w:val="24"/>
          <w:szCs w:val="24"/>
        </w:rPr>
        <w:t>Halderman</w:t>
      </w:r>
      <w:proofErr w:type="spellEnd"/>
      <w:r w:rsidRPr="007E4F3A">
        <w:rPr>
          <w:rFonts w:cstheme="minorHAnsi"/>
          <w:sz w:val="24"/>
          <w:szCs w:val="24"/>
        </w:rPr>
        <w:t>.</w:t>
      </w:r>
      <w:r w:rsidRPr="007E4F3A">
        <w:rPr>
          <w:rStyle w:val="FootnoteReference"/>
          <w:rFonts w:cstheme="minorHAnsi"/>
          <w:sz w:val="24"/>
          <w:szCs w:val="24"/>
        </w:rPr>
        <w:footnoteReference w:id="14"/>
      </w:r>
      <w:r w:rsidRPr="007E4F3A">
        <w:rPr>
          <w:rFonts w:cstheme="minorHAnsi"/>
          <w:sz w:val="24"/>
          <w:szCs w:val="24"/>
        </w:rPr>
        <w:t xml:space="preserve"> Discussing the Developmentally Disabled Assistance and Bill of Rights Act, Justice Rehnquist’s majority opinion equated legislation enacted pursuant to the Spending Clause to a contract between the federal government and the states with the typical remedy for state noncompliance being an action by the federal government to terminate funding.</w:t>
      </w:r>
      <w:r w:rsidRPr="007E4F3A">
        <w:rPr>
          <w:rStyle w:val="FootnoteReference"/>
          <w:rFonts w:cstheme="minorHAnsi"/>
          <w:sz w:val="24"/>
          <w:szCs w:val="24"/>
        </w:rPr>
        <w:footnoteReference w:id="15"/>
      </w:r>
      <w:r w:rsidRPr="007E4F3A">
        <w:rPr>
          <w:rFonts w:cstheme="minorHAnsi"/>
          <w:sz w:val="24"/>
          <w:szCs w:val="24"/>
        </w:rPr>
        <w:t xml:space="preserve"> Notably, the Developmentally Disabled Assistance and Bill of Rights Act, unlike Medicaid, is not part of the Social Security Act.</w:t>
      </w:r>
    </w:p>
    <w:p w:rsidR="001948A1" w:rsidRDefault="001948A1" w:rsidP="001948A1">
      <w:pPr>
        <w:spacing w:after="0" w:line="240" w:lineRule="auto"/>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 xml:space="preserve">In 2002, the Rehnquist Court issued </w:t>
      </w:r>
      <w:r w:rsidRPr="007E4F3A">
        <w:rPr>
          <w:rFonts w:cstheme="minorHAnsi"/>
          <w:i/>
          <w:sz w:val="24"/>
          <w:szCs w:val="24"/>
        </w:rPr>
        <w:t>Gonzaga Univ. v. Doe</w:t>
      </w:r>
      <w:r w:rsidRPr="007E4F3A">
        <w:rPr>
          <w:rFonts w:cstheme="minorHAnsi"/>
          <w:sz w:val="24"/>
          <w:szCs w:val="24"/>
        </w:rPr>
        <w:t xml:space="preserve"> to clarify and tighten the enforcement test.</w:t>
      </w:r>
      <w:r w:rsidRPr="007E4F3A">
        <w:rPr>
          <w:rStyle w:val="FootnoteReference"/>
          <w:rFonts w:cstheme="minorHAnsi"/>
          <w:sz w:val="24"/>
          <w:szCs w:val="24"/>
        </w:rPr>
        <w:footnoteReference w:id="16"/>
      </w:r>
      <w:r w:rsidRPr="007E4F3A">
        <w:rPr>
          <w:rFonts w:cstheme="minorHAnsi"/>
          <w:sz w:val="24"/>
          <w:szCs w:val="24"/>
        </w:rPr>
        <w:t xml:space="preserve"> Writing for the majority, Chief Justice Rehnquist cited </w:t>
      </w:r>
      <w:proofErr w:type="spellStart"/>
      <w:r w:rsidRPr="007E4F3A">
        <w:rPr>
          <w:rFonts w:cstheme="minorHAnsi"/>
          <w:i/>
          <w:sz w:val="24"/>
          <w:szCs w:val="24"/>
        </w:rPr>
        <w:t>Pennhurst</w:t>
      </w:r>
      <w:proofErr w:type="spellEnd"/>
      <w:r w:rsidRPr="007E4F3A">
        <w:rPr>
          <w:rFonts w:cstheme="minorHAnsi"/>
          <w:sz w:val="24"/>
          <w:szCs w:val="24"/>
        </w:rPr>
        <w:t xml:space="preserve"> and noted that </w:t>
      </w:r>
      <w:r w:rsidRPr="007E4F3A">
        <w:rPr>
          <w:rFonts w:cstheme="minorHAnsi"/>
          <w:i/>
          <w:sz w:val="24"/>
          <w:szCs w:val="24"/>
        </w:rPr>
        <w:t xml:space="preserve">Gonzaga </w:t>
      </w:r>
      <w:r w:rsidRPr="007E4F3A">
        <w:rPr>
          <w:rFonts w:cstheme="minorHAnsi"/>
          <w:sz w:val="24"/>
          <w:szCs w:val="24"/>
        </w:rPr>
        <w:t>involved a Spending Clause enactment.</w:t>
      </w:r>
      <w:r w:rsidRPr="007E4F3A">
        <w:rPr>
          <w:rStyle w:val="FootnoteReference"/>
          <w:rFonts w:cstheme="minorHAnsi"/>
          <w:sz w:val="24"/>
          <w:szCs w:val="24"/>
        </w:rPr>
        <w:footnoteReference w:id="17"/>
      </w:r>
      <w:r w:rsidRPr="007E4F3A">
        <w:rPr>
          <w:rFonts w:cstheme="minorHAnsi"/>
          <w:sz w:val="24"/>
          <w:szCs w:val="24"/>
        </w:rPr>
        <w:t xml:space="preserve"> The </w:t>
      </w:r>
      <w:r w:rsidRPr="007E4F3A">
        <w:rPr>
          <w:rFonts w:cstheme="minorHAnsi"/>
          <w:i/>
          <w:sz w:val="24"/>
          <w:szCs w:val="24"/>
        </w:rPr>
        <w:t xml:space="preserve">Gonzaga </w:t>
      </w:r>
      <w:r w:rsidRPr="007E4F3A">
        <w:rPr>
          <w:rFonts w:cstheme="minorHAnsi"/>
          <w:sz w:val="24"/>
          <w:szCs w:val="24"/>
        </w:rPr>
        <w:t>Court then held that a federal law is not privately enforceable unless Congress has unambiguously manifested its intent to confer individual rights on the plaintiff.</w:t>
      </w:r>
      <w:r w:rsidRPr="007E4F3A">
        <w:rPr>
          <w:rStyle w:val="FootnoteReference"/>
          <w:rFonts w:cstheme="minorHAnsi"/>
          <w:sz w:val="24"/>
          <w:szCs w:val="24"/>
        </w:rPr>
        <w:footnoteReference w:id="18"/>
      </w:r>
      <w:r w:rsidRPr="007E4F3A">
        <w:rPr>
          <w:rFonts w:cstheme="minorHAnsi"/>
          <w:sz w:val="24"/>
          <w:szCs w:val="24"/>
        </w:rPr>
        <w:t xml:space="preserve"> Moreover, this initial inquiry into whether a statute creates a federal right under § 1983 “is no different from the initial inquiry in an implied right of action case.”</w:t>
      </w:r>
      <w:r w:rsidRPr="007E4F3A">
        <w:rPr>
          <w:rStyle w:val="FootnoteReference"/>
          <w:rFonts w:cstheme="minorHAnsi"/>
          <w:sz w:val="24"/>
          <w:szCs w:val="24"/>
        </w:rPr>
        <w:footnoteReference w:id="19"/>
      </w:r>
      <w:r w:rsidRPr="007E4F3A">
        <w:rPr>
          <w:rFonts w:cstheme="minorHAnsi"/>
          <w:sz w:val="24"/>
          <w:szCs w:val="24"/>
        </w:rPr>
        <w:t xml:space="preserve"> The provision must contain “rights- or duty-creating language” and have an individual rather than an aggregate focus.</w:t>
      </w:r>
      <w:r w:rsidRPr="007E4F3A">
        <w:rPr>
          <w:rStyle w:val="FootnoteReference"/>
          <w:rFonts w:cstheme="minorHAnsi"/>
          <w:sz w:val="24"/>
          <w:szCs w:val="24"/>
        </w:rPr>
        <w:footnoteReference w:id="20"/>
      </w:r>
      <w:r w:rsidRPr="007E4F3A">
        <w:rPr>
          <w:rFonts w:cstheme="minorHAnsi"/>
          <w:sz w:val="24"/>
          <w:szCs w:val="24"/>
        </w:rPr>
        <w:t xml:space="preserve">  </w:t>
      </w:r>
    </w:p>
    <w:p w:rsidR="001948A1" w:rsidRPr="007E4F3A" w:rsidRDefault="001948A1" w:rsidP="001948A1">
      <w:pPr>
        <w:spacing w:after="0" w:line="240" w:lineRule="auto"/>
        <w:ind w:firstLine="720"/>
        <w:rPr>
          <w:rFonts w:cstheme="minorHAnsi"/>
          <w:sz w:val="24"/>
          <w:szCs w:val="24"/>
        </w:rPr>
      </w:pPr>
    </w:p>
    <w:p w:rsidR="007E4F3A" w:rsidRPr="007E4F3A" w:rsidRDefault="007E4F3A" w:rsidP="001948A1">
      <w:pPr>
        <w:spacing w:after="0" w:line="240" w:lineRule="auto"/>
        <w:ind w:firstLine="720"/>
        <w:rPr>
          <w:rFonts w:cstheme="minorHAnsi"/>
          <w:sz w:val="24"/>
          <w:szCs w:val="24"/>
        </w:rPr>
      </w:pPr>
      <w:r w:rsidRPr="007E4F3A">
        <w:rPr>
          <w:rFonts w:cstheme="minorHAnsi"/>
          <w:sz w:val="24"/>
          <w:szCs w:val="24"/>
        </w:rPr>
        <w:t xml:space="preserve">Thus, </w:t>
      </w:r>
      <w:r w:rsidRPr="007E4F3A">
        <w:rPr>
          <w:rFonts w:cstheme="minorHAnsi"/>
          <w:i/>
          <w:sz w:val="24"/>
          <w:szCs w:val="24"/>
        </w:rPr>
        <w:t xml:space="preserve">Gonzaga </w:t>
      </w:r>
      <w:r w:rsidRPr="007E4F3A">
        <w:rPr>
          <w:rFonts w:cstheme="minorHAnsi"/>
          <w:sz w:val="24"/>
          <w:szCs w:val="24"/>
        </w:rPr>
        <w:t>turns on the need to discern congressional intent.  Notably, in 1994, Congress added 42 U.S.C. § 1320a-2 to the Social Security Act expressly to recognize that provisions of the Social Security Act are privately enforceable.</w:t>
      </w:r>
      <w:r w:rsidRPr="007E4F3A">
        <w:rPr>
          <w:rStyle w:val="FootnoteReference"/>
          <w:rFonts w:cstheme="minorHAnsi"/>
          <w:sz w:val="24"/>
          <w:szCs w:val="24"/>
        </w:rPr>
        <w:footnoteReference w:id="21"/>
      </w:r>
      <w:r w:rsidRPr="007E4F3A">
        <w:rPr>
          <w:rFonts w:cstheme="minorHAnsi"/>
          <w:sz w:val="24"/>
          <w:szCs w:val="24"/>
        </w:rPr>
        <w:t xml:space="preserve"> The </w:t>
      </w:r>
      <w:r w:rsidRPr="007E4F3A">
        <w:rPr>
          <w:rFonts w:cstheme="minorHAnsi"/>
          <w:sz w:val="24"/>
          <w:szCs w:val="24"/>
        </w:rPr>
        <w:lastRenderedPageBreak/>
        <w:t>amendment requires all courts, in Social Security Act cases, to apply the grounds for enforcement recognized by the Supreme Court prior to 1994 (grounds, which as discussed above, include both preemption and § 1983 claims). Interestingly, not all courts have deferred to § 1320a-2.</w:t>
      </w:r>
      <w:r w:rsidRPr="007E4F3A">
        <w:rPr>
          <w:rStyle w:val="FootnoteReference"/>
          <w:rFonts w:cstheme="minorHAnsi"/>
          <w:sz w:val="24"/>
          <w:szCs w:val="24"/>
        </w:rPr>
        <w:footnoteReference w:id="22"/>
      </w:r>
      <w:r w:rsidRPr="007E4F3A">
        <w:rPr>
          <w:rFonts w:cstheme="minorHAnsi"/>
          <w:sz w:val="24"/>
          <w:szCs w:val="24"/>
        </w:rPr>
        <w:t xml:space="preserve"> Of particular note is a pithy, but incorrect, analysis by Ninth Circuit Court Judge </w:t>
      </w:r>
      <w:proofErr w:type="spellStart"/>
      <w:r w:rsidRPr="007E4F3A">
        <w:rPr>
          <w:rFonts w:cstheme="minorHAnsi"/>
          <w:sz w:val="24"/>
          <w:szCs w:val="24"/>
        </w:rPr>
        <w:t>O’Scannlain</w:t>
      </w:r>
      <w:proofErr w:type="spellEnd"/>
      <w:r w:rsidRPr="007E4F3A">
        <w:rPr>
          <w:rFonts w:cstheme="minorHAnsi"/>
          <w:sz w:val="24"/>
          <w:szCs w:val="24"/>
        </w:rPr>
        <w:t xml:space="preserve"> in a Medicaid case, </w:t>
      </w:r>
      <w:r w:rsidRPr="007E4F3A">
        <w:rPr>
          <w:rFonts w:cstheme="minorHAnsi"/>
          <w:i/>
          <w:sz w:val="24"/>
          <w:szCs w:val="24"/>
        </w:rPr>
        <w:t>Sanchez v. Johnson</w:t>
      </w:r>
      <w:r w:rsidRPr="007E4F3A">
        <w:rPr>
          <w:rFonts w:cstheme="minorHAnsi"/>
          <w:sz w:val="24"/>
          <w:szCs w:val="24"/>
        </w:rPr>
        <w:t>.</w:t>
      </w:r>
      <w:r w:rsidRPr="007E4F3A">
        <w:rPr>
          <w:rStyle w:val="FootnoteReference"/>
          <w:rFonts w:cstheme="minorHAnsi"/>
          <w:sz w:val="24"/>
          <w:szCs w:val="24"/>
        </w:rPr>
        <w:footnoteReference w:id="23"/>
      </w:r>
      <w:r w:rsidRPr="007E4F3A">
        <w:rPr>
          <w:rFonts w:cstheme="minorHAnsi"/>
          <w:sz w:val="24"/>
          <w:szCs w:val="24"/>
        </w:rPr>
        <w:t xml:space="preserve"> The decision dismisses § 1320a-2, finding it is “hardly a model of clarity” and concluding that it does not disturb the reasoning of </w:t>
      </w:r>
      <w:proofErr w:type="spellStart"/>
      <w:r w:rsidRPr="007E4F3A">
        <w:rPr>
          <w:rFonts w:cstheme="minorHAnsi"/>
          <w:i/>
          <w:iCs/>
          <w:sz w:val="24"/>
          <w:szCs w:val="24"/>
        </w:rPr>
        <w:t>Pennhurst</w:t>
      </w:r>
      <w:proofErr w:type="spellEnd"/>
      <w:r w:rsidRPr="007E4F3A">
        <w:rPr>
          <w:rFonts w:cstheme="minorHAnsi"/>
          <w:i/>
          <w:iCs/>
          <w:sz w:val="24"/>
          <w:szCs w:val="24"/>
        </w:rPr>
        <w:t>.</w:t>
      </w:r>
      <w:r w:rsidRPr="007E4F3A">
        <w:rPr>
          <w:rStyle w:val="FootnoteReference"/>
          <w:rFonts w:cstheme="minorHAnsi"/>
          <w:sz w:val="24"/>
          <w:szCs w:val="24"/>
        </w:rPr>
        <w:footnoteReference w:id="24"/>
      </w:r>
      <w:r w:rsidRPr="007E4F3A">
        <w:rPr>
          <w:rFonts w:cstheme="minorHAnsi"/>
          <w:sz w:val="24"/>
          <w:szCs w:val="24"/>
        </w:rPr>
        <w:t xml:space="preserve"> However, Congress enacted § 1320a-2 specifically to preserve the long history of private enforcement of the Social Security Act, and </w:t>
      </w:r>
      <w:proofErr w:type="spellStart"/>
      <w:r w:rsidRPr="007E4F3A">
        <w:rPr>
          <w:rFonts w:cstheme="minorHAnsi"/>
          <w:i/>
          <w:iCs/>
          <w:sz w:val="24"/>
          <w:szCs w:val="24"/>
        </w:rPr>
        <w:t>Pennhurst</w:t>
      </w:r>
      <w:proofErr w:type="spellEnd"/>
      <w:r w:rsidRPr="007E4F3A">
        <w:rPr>
          <w:rFonts w:cstheme="minorHAnsi"/>
          <w:sz w:val="24"/>
          <w:szCs w:val="24"/>
        </w:rPr>
        <w:t xml:space="preserve"> is not a Social Security Act case.</w:t>
      </w:r>
      <w:r w:rsidRPr="007E4F3A">
        <w:rPr>
          <w:rStyle w:val="FootnoteReference"/>
          <w:rFonts w:cstheme="minorHAnsi"/>
          <w:sz w:val="24"/>
          <w:szCs w:val="24"/>
        </w:rPr>
        <w:footnoteReference w:id="25"/>
      </w:r>
    </w:p>
    <w:p w:rsidR="001948A1" w:rsidRPr="007E4F3A" w:rsidRDefault="001948A1" w:rsidP="001948A1">
      <w:pPr>
        <w:spacing w:after="0" w:line="240" w:lineRule="auto"/>
        <w:ind w:firstLine="720"/>
        <w:rPr>
          <w:rFonts w:cstheme="minorHAnsi"/>
          <w:b/>
          <w:sz w:val="24"/>
          <w:szCs w:val="24"/>
        </w:rPr>
      </w:pPr>
    </w:p>
    <w:p w:rsidR="007E4F3A" w:rsidRDefault="007E4F3A" w:rsidP="001948A1">
      <w:pPr>
        <w:spacing w:after="0" w:line="240" w:lineRule="auto"/>
        <w:ind w:firstLine="720"/>
        <w:rPr>
          <w:rFonts w:cstheme="minorHAnsi"/>
          <w:b/>
          <w:sz w:val="24"/>
          <w:szCs w:val="24"/>
        </w:rPr>
      </w:pPr>
      <w:r w:rsidRPr="007E4F3A">
        <w:rPr>
          <w:rFonts w:cstheme="minorHAnsi"/>
          <w:b/>
          <w:sz w:val="24"/>
          <w:szCs w:val="24"/>
        </w:rPr>
        <w:t>Medicaid enforcement under § 1983</w:t>
      </w:r>
    </w:p>
    <w:p w:rsidR="001948A1" w:rsidRPr="007E4F3A" w:rsidRDefault="001948A1"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 xml:space="preserve">The Supreme Court has not decided a Medicaid/§ 1983 enforcement case since </w:t>
      </w:r>
      <w:r w:rsidRPr="007E4F3A">
        <w:rPr>
          <w:rFonts w:cstheme="minorHAnsi"/>
          <w:i/>
          <w:sz w:val="24"/>
          <w:szCs w:val="24"/>
        </w:rPr>
        <w:t xml:space="preserve">Gonzaga </w:t>
      </w:r>
      <w:r w:rsidRPr="007E4F3A">
        <w:rPr>
          <w:rFonts w:cstheme="minorHAnsi"/>
          <w:sz w:val="24"/>
          <w:szCs w:val="24"/>
        </w:rPr>
        <w:t xml:space="preserve">was decided on June 20, 2002. During the 2011-2012 Term, however, the Court did agree to consider the question of whether beneficiaries and providers may maintain a cause of action under the Supremacy Clause to enforce § 1396a(a)(30)(A), a provision of the Medicaid Act requiring states to establish adequate provider payment </w:t>
      </w:r>
      <w:r w:rsidRPr="007E4F3A">
        <w:rPr>
          <w:rFonts w:cstheme="minorHAnsi"/>
          <w:sz w:val="24"/>
          <w:szCs w:val="24"/>
        </w:rPr>
        <w:lastRenderedPageBreak/>
        <w:t>rates.</w:t>
      </w:r>
      <w:r w:rsidRPr="007E4F3A">
        <w:rPr>
          <w:rStyle w:val="FootnoteReference"/>
          <w:rFonts w:cstheme="minorHAnsi"/>
          <w:sz w:val="24"/>
          <w:szCs w:val="24"/>
        </w:rPr>
        <w:footnoteReference w:id="26"/>
      </w:r>
      <w:r w:rsidRPr="007E4F3A">
        <w:rPr>
          <w:rFonts w:cstheme="minorHAnsi"/>
          <w:sz w:val="24"/>
          <w:szCs w:val="24"/>
        </w:rPr>
        <w:t xml:space="preserve"> While the case was remanded without a decision on the Supremacy Clause question, it is nevertheless important because Chief Justice Roberts’ strong, four-member dissent, stated without discussion that § (30)(A) cannot be enforced through § 1983 (indeed, every appellate court has said this as well) and would have decided the Supremacy Clause question against the plaintiffs.</w:t>
      </w:r>
      <w:r w:rsidRPr="007E4F3A">
        <w:rPr>
          <w:rStyle w:val="FootnoteReference"/>
          <w:rFonts w:cstheme="minorHAnsi"/>
          <w:sz w:val="24"/>
          <w:szCs w:val="24"/>
        </w:rPr>
        <w:footnoteReference w:id="27"/>
      </w:r>
      <w:r w:rsidRPr="007E4F3A">
        <w:rPr>
          <w:rFonts w:cstheme="minorHAnsi"/>
          <w:sz w:val="24"/>
          <w:szCs w:val="24"/>
        </w:rPr>
        <w:t xml:space="preserve">  </w:t>
      </w:r>
    </w:p>
    <w:p w:rsidR="001948A1" w:rsidRPr="007E4F3A" w:rsidRDefault="001948A1" w:rsidP="001948A1">
      <w:pPr>
        <w:spacing w:after="0" w:line="240" w:lineRule="auto"/>
        <w:ind w:firstLine="720"/>
        <w:rPr>
          <w:rFonts w:cstheme="minorHAnsi"/>
          <w:sz w:val="24"/>
          <w:szCs w:val="24"/>
        </w:rPr>
      </w:pPr>
    </w:p>
    <w:p w:rsidR="001948A1" w:rsidRDefault="007E4F3A" w:rsidP="001948A1">
      <w:pPr>
        <w:spacing w:after="0" w:line="240" w:lineRule="auto"/>
        <w:ind w:firstLine="720"/>
        <w:rPr>
          <w:rFonts w:cstheme="minorHAnsi"/>
          <w:sz w:val="24"/>
          <w:szCs w:val="24"/>
        </w:rPr>
      </w:pPr>
      <w:r w:rsidRPr="007E4F3A">
        <w:rPr>
          <w:rFonts w:cstheme="minorHAnsi"/>
          <w:sz w:val="24"/>
          <w:szCs w:val="24"/>
        </w:rPr>
        <w:t xml:space="preserve">A number of lower courts have applied the Gonzaga/Blessing enforcement test in the Medicaid context. Of particular note are the 41 cases decided by the federal courts of appeals. This activity is summarized in the tables, below. </w:t>
      </w:r>
    </w:p>
    <w:p w:rsidR="007E4F3A" w:rsidRPr="007E4F3A" w:rsidRDefault="007E4F3A" w:rsidP="001948A1">
      <w:pPr>
        <w:spacing w:after="0" w:line="240" w:lineRule="auto"/>
        <w:ind w:firstLine="720"/>
        <w:rPr>
          <w:rFonts w:cstheme="minorHAnsi"/>
          <w:sz w:val="24"/>
          <w:szCs w:val="24"/>
        </w:rPr>
      </w:pPr>
      <w:r w:rsidRPr="007E4F3A">
        <w:rPr>
          <w:rFonts w:cstheme="minorHAnsi"/>
          <w:sz w:val="24"/>
          <w:szCs w:val="24"/>
        </w:rPr>
        <w:t xml:space="preserve"> </w:t>
      </w:r>
    </w:p>
    <w:p w:rsidR="007E4F3A" w:rsidRDefault="007E4F3A" w:rsidP="001948A1">
      <w:pPr>
        <w:spacing w:after="0" w:line="240" w:lineRule="auto"/>
        <w:ind w:firstLine="720"/>
        <w:rPr>
          <w:rFonts w:cstheme="minorHAnsi"/>
          <w:sz w:val="24"/>
          <w:szCs w:val="24"/>
        </w:rPr>
      </w:pPr>
      <w:r w:rsidRPr="007E4F3A">
        <w:rPr>
          <w:rFonts w:cstheme="minorHAnsi"/>
          <w:sz w:val="24"/>
          <w:szCs w:val="24"/>
        </w:rPr>
        <w:t xml:space="preserve">Table 1 shows where the cases have occurred. As of October 2013, 11 of the 12 federal circuits had reviewed at least one § 1983 Medicaid case since </w:t>
      </w:r>
      <w:r w:rsidRPr="007E4F3A">
        <w:rPr>
          <w:rFonts w:cstheme="minorHAnsi"/>
          <w:i/>
          <w:sz w:val="24"/>
          <w:szCs w:val="24"/>
        </w:rPr>
        <w:t xml:space="preserve">Gonzaga </w:t>
      </w:r>
      <w:r w:rsidRPr="007E4F3A">
        <w:rPr>
          <w:rFonts w:cstheme="minorHAnsi"/>
          <w:sz w:val="24"/>
          <w:szCs w:val="24"/>
        </w:rPr>
        <w:t>was decided. The First, Sixth, and Ninth Circuits have been most active. The DC Circuit is the only appellate court yet to decide a Medicaid case.</w:t>
      </w:r>
      <w:r w:rsidRPr="007E4F3A">
        <w:rPr>
          <w:rStyle w:val="FootnoteReference"/>
          <w:rFonts w:cstheme="minorHAnsi"/>
          <w:sz w:val="24"/>
          <w:szCs w:val="24"/>
        </w:rPr>
        <w:footnoteReference w:id="28"/>
      </w:r>
      <w:r w:rsidRPr="007E4F3A">
        <w:rPr>
          <w:rFonts w:cstheme="minorHAnsi"/>
          <w:sz w:val="24"/>
          <w:szCs w:val="24"/>
        </w:rPr>
        <w:t xml:space="preserve">  </w:t>
      </w:r>
    </w:p>
    <w:p w:rsidR="001948A1" w:rsidRPr="007E4F3A" w:rsidRDefault="001948A1" w:rsidP="001948A1">
      <w:pPr>
        <w:spacing w:after="0" w:line="240" w:lineRule="auto"/>
        <w:ind w:firstLine="720"/>
        <w:rPr>
          <w:rFonts w:cstheme="minorHAnsi"/>
          <w:b/>
          <w:sz w:val="24"/>
          <w:szCs w:val="24"/>
        </w:rPr>
      </w:pPr>
    </w:p>
    <w:p w:rsidR="007E4F3A" w:rsidRPr="007E4F3A" w:rsidRDefault="007E4F3A" w:rsidP="007E4F3A">
      <w:pPr>
        <w:jc w:val="center"/>
        <w:rPr>
          <w:rFonts w:cstheme="minorHAnsi"/>
          <w:b/>
          <w:sz w:val="24"/>
          <w:szCs w:val="24"/>
        </w:rPr>
      </w:pPr>
      <w:r w:rsidRPr="007E4F3A">
        <w:rPr>
          <w:rFonts w:cstheme="minorHAnsi"/>
          <w:b/>
          <w:sz w:val="24"/>
          <w:szCs w:val="24"/>
        </w:rPr>
        <w:t>Table 1</w:t>
      </w:r>
    </w:p>
    <w:p w:rsidR="007E4F3A" w:rsidRPr="007E4F3A" w:rsidRDefault="007E4F3A" w:rsidP="007E4F3A">
      <w:pPr>
        <w:jc w:val="center"/>
        <w:rPr>
          <w:rFonts w:cstheme="minorHAnsi"/>
          <w:b/>
          <w:sz w:val="24"/>
          <w:szCs w:val="24"/>
        </w:rPr>
      </w:pPr>
      <w:r w:rsidRPr="007E4F3A">
        <w:rPr>
          <w:rFonts w:cstheme="minorHAnsi"/>
          <w:b/>
          <w:sz w:val="24"/>
          <w:szCs w:val="24"/>
        </w:rPr>
        <w:t>Medicaid § 1983 cases in the circuits, June 2002-September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7E4F3A" w:rsidRPr="007E4F3A" w:rsidTr="00C115FD">
        <w:trPr>
          <w:trHeight w:val="386"/>
          <w:jc w:val="center"/>
        </w:trPr>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1st</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2d</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3d</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4th</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5th</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6th</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7th</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8th</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9th</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10th</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11th</w:t>
            </w:r>
          </w:p>
        </w:tc>
        <w:tc>
          <w:tcPr>
            <w:tcW w:w="738" w:type="dxa"/>
            <w:vAlign w:val="bottom"/>
          </w:tcPr>
          <w:p w:rsidR="007E4F3A" w:rsidRPr="007E4F3A" w:rsidRDefault="007E4F3A" w:rsidP="00C115FD">
            <w:pPr>
              <w:jc w:val="center"/>
              <w:rPr>
                <w:rFonts w:cstheme="minorHAnsi"/>
                <w:sz w:val="24"/>
                <w:szCs w:val="24"/>
              </w:rPr>
            </w:pPr>
            <w:r w:rsidRPr="007E4F3A">
              <w:rPr>
                <w:rFonts w:cstheme="minorHAnsi"/>
                <w:sz w:val="24"/>
                <w:szCs w:val="24"/>
              </w:rPr>
              <w:t>DC</w:t>
            </w:r>
          </w:p>
        </w:tc>
      </w:tr>
      <w:tr w:rsidR="007E4F3A" w:rsidRPr="007E4F3A" w:rsidTr="00C115FD">
        <w:trPr>
          <w:trHeight w:val="43"/>
          <w:jc w:val="center"/>
        </w:trPr>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5</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3</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4</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2</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3</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5</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3</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3</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9</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3</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1</w:t>
            </w:r>
          </w:p>
        </w:tc>
        <w:tc>
          <w:tcPr>
            <w:tcW w:w="738" w:type="dxa"/>
            <w:vAlign w:val="center"/>
          </w:tcPr>
          <w:p w:rsidR="007E4F3A" w:rsidRPr="007E4F3A" w:rsidRDefault="007E4F3A" w:rsidP="00C115FD">
            <w:pPr>
              <w:jc w:val="center"/>
              <w:rPr>
                <w:rFonts w:cstheme="minorHAnsi"/>
                <w:sz w:val="24"/>
                <w:szCs w:val="24"/>
              </w:rPr>
            </w:pPr>
            <w:r w:rsidRPr="007E4F3A">
              <w:rPr>
                <w:rFonts w:cstheme="minorHAnsi"/>
                <w:sz w:val="24"/>
                <w:szCs w:val="24"/>
              </w:rPr>
              <w:t>0</w:t>
            </w:r>
          </w:p>
        </w:tc>
      </w:tr>
    </w:tbl>
    <w:p w:rsidR="007E4F3A" w:rsidRPr="007E4F3A" w:rsidRDefault="007E4F3A" w:rsidP="007E4F3A">
      <w:pPr>
        <w:ind w:firstLine="720"/>
        <w:rPr>
          <w:rFonts w:cstheme="minorHAnsi"/>
          <w:bCs/>
          <w:sz w:val="24"/>
          <w:szCs w:val="24"/>
        </w:rPr>
      </w:pPr>
    </w:p>
    <w:p w:rsidR="007E4F3A" w:rsidRDefault="007E4F3A" w:rsidP="001948A1">
      <w:pPr>
        <w:spacing w:after="0" w:line="240" w:lineRule="auto"/>
        <w:ind w:firstLine="720"/>
        <w:rPr>
          <w:rFonts w:cstheme="minorHAnsi"/>
          <w:sz w:val="24"/>
          <w:szCs w:val="24"/>
        </w:rPr>
      </w:pPr>
      <w:r w:rsidRPr="007E4F3A">
        <w:rPr>
          <w:rFonts w:cstheme="minorHAnsi"/>
          <w:bCs/>
          <w:sz w:val="24"/>
          <w:szCs w:val="24"/>
        </w:rPr>
        <w:t>Courts review enforcement on a provision-by-provision basis.</w:t>
      </w:r>
      <w:r w:rsidRPr="007E4F3A">
        <w:rPr>
          <w:rFonts w:cstheme="minorHAnsi"/>
          <w:sz w:val="24"/>
          <w:szCs w:val="24"/>
        </w:rPr>
        <w:t xml:space="preserve"> Although such assessment requires careful pleading of the complaint and exacts more painstaking analysis from the parties and the court, it is consistent with the Supreme Court’s teachings.</w:t>
      </w:r>
      <w:r w:rsidRPr="007E4F3A">
        <w:rPr>
          <w:rStyle w:val="FootnoteReference"/>
          <w:rFonts w:cstheme="minorHAnsi"/>
          <w:sz w:val="24"/>
          <w:szCs w:val="24"/>
        </w:rPr>
        <w:t xml:space="preserve"> </w:t>
      </w:r>
      <w:r w:rsidRPr="007E4F3A">
        <w:rPr>
          <w:rStyle w:val="FootnoteReference"/>
          <w:rFonts w:cstheme="minorHAnsi"/>
          <w:sz w:val="24"/>
          <w:szCs w:val="24"/>
        </w:rPr>
        <w:footnoteReference w:id="29"/>
      </w:r>
      <w:r w:rsidRPr="007E4F3A">
        <w:rPr>
          <w:rFonts w:cstheme="minorHAnsi"/>
          <w:sz w:val="24"/>
          <w:szCs w:val="24"/>
        </w:rPr>
        <w:t xml:space="preserve"> Table 2 shows that, since the 2002 </w:t>
      </w:r>
      <w:r w:rsidRPr="007E4F3A">
        <w:rPr>
          <w:rFonts w:cstheme="minorHAnsi"/>
          <w:i/>
          <w:sz w:val="24"/>
          <w:szCs w:val="24"/>
        </w:rPr>
        <w:t xml:space="preserve">Gonzaga </w:t>
      </w:r>
      <w:r w:rsidRPr="007E4F3A">
        <w:rPr>
          <w:rFonts w:cstheme="minorHAnsi"/>
          <w:sz w:val="24"/>
          <w:szCs w:val="24"/>
        </w:rPr>
        <w:t xml:space="preserve">ruling, federal appellate courts have reviewed the enforceability of 23 Medicaid Act provisions. These courts have allowed just over half of the provisions to be privately enforced by the plaintiffs. The vast majority of the cases involve enforcement by Medicaid beneficiaries; however, the Ninth and Third Circuits have now joined the First and Fourth to recognize the right </w:t>
      </w:r>
      <w:r w:rsidRPr="007E4F3A">
        <w:rPr>
          <w:rFonts w:cstheme="minorHAnsi"/>
          <w:sz w:val="24"/>
          <w:szCs w:val="24"/>
        </w:rPr>
        <w:lastRenderedPageBreak/>
        <w:t xml:space="preserve">of federally qualified health centers to enforce 42 U.S.C. § </w:t>
      </w:r>
      <w:proofErr w:type="gramStart"/>
      <w:r w:rsidRPr="007E4F3A">
        <w:rPr>
          <w:rFonts w:cstheme="minorHAnsi"/>
          <w:sz w:val="24"/>
          <w:szCs w:val="24"/>
        </w:rPr>
        <w:t>1396a(</w:t>
      </w:r>
      <w:proofErr w:type="gramEnd"/>
      <w:r w:rsidRPr="007E4F3A">
        <w:rPr>
          <w:rFonts w:cstheme="minorHAnsi"/>
          <w:sz w:val="24"/>
          <w:szCs w:val="24"/>
        </w:rPr>
        <w:t>bb), a Medicaid provision that specifically addresses payment requirements for FQHCs.</w:t>
      </w:r>
    </w:p>
    <w:p w:rsidR="007106EF" w:rsidRPr="007E4F3A" w:rsidRDefault="007106EF"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A few Medicaid provisions have received particular attention post-</w:t>
      </w:r>
      <w:r w:rsidRPr="007E4F3A">
        <w:rPr>
          <w:rFonts w:cstheme="minorHAnsi"/>
          <w:i/>
          <w:sz w:val="24"/>
          <w:szCs w:val="24"/>
        </w:rPr>
        <w:t>Gonzaga</w:t>
      </w:r>
      <w:r w:rsidRPr="007E4F3A">
        <w:rPr>
          <w:rFonts w:cstheme="minorHAnsi"/>
          <w:sz w:val="24"/>
          <w:szCs w:val="24"/>
        </w:rPr>
        <w:t>. Federal courts of appeals have consistently allowed Medicaid beneficiaries to enforce two provisions that are of the utmost importance:  42 U.S.C. § 1396a(a)(8), which requires the state Medicaid agency to provide medical assistance to “all individuals” with reasonable promptness, and § 1396a(a)(10)(A), requiring the state agency to provide medical assistance to “all individuals” who are described in the section’s listing of covered populations (e.g. SSI, qualified pregnant women, low-income children). By contrast</w:t>
      </w:r>
      <w:r w:rsidRPr="007E4F3A">
        <w:rPr>
          <w:rFonts w:cstheme="minorHAnsi"/>
          <w:i/>
          <w:sz w:val="24"/>
          <w:szCs w:val="24"/>
        </w:rPr>
        <w:t xml:space="preserve"> </w:t>
      </w:r>
      <w:r w:rsidRPr="007E4F3A">
        <w:rPr>
          <w:rFonts w:cstheme="minorHAnsi"/>
          <w:sz w:val="24"/>
          <w:szCs w:val="24"/>
        </w:rPr>
        <w:t xml:space="preserve">all six of the federal circuits to have reviewed the question (the First, Second, Fifth, Sixth, Ninth, and Tenth) have held a Medicaid provider payment provision, § </w:t>
      </w:r>
      <w:proofErr w:type="gramStart"/>
      <w:r w:rsidRPr="007E4F3A">
        <w:rPr>
          <w:rFonts w:cstheme="minorHAnsi"/>
          <w:sz w:val="24"/>
          <w:szCs w:val="24"/>
        </w:rPr>
        <w:t>1396a(</w:t>
      </w:r>
      <w:proofErr w:type="gramEnd"/>
      <w:r w:rsidRPr="007E4F3A">
        <w:rPr>
          <w:rFonts w:cstheme="minorHAnsi"/>
          <w:sz w:val="24"/>
          <w:szCs w:val="24"/>
        </w:rPr>
        <w:t xml:space="preserve">a)(30)(A), does </w:t>
      </w:r>
      <w:r w:rsidRPr="007E4F3A">
        <w:rPr>
          <w:rFonts w:cstheme="minorHAnsi"/>
          <w:i/>
          <w:sz w:val="24"/>
          <w:szCs w:val="24"/>
        </w:rPr>
        <w:t xml:space="preserve">not </w:t>
      </w:r>
      <w:r w:rsidRPr="007E4F3A">
        <w:rPr>
          <w:rFonts w:cstheme="minorHAnsi"/>
          <w:sz w:val="24"/>
          <w:szCs w:val="24"/>
        </w:rPr>
        <w:t>create a federal right enforceable by health care providers.</w:t>
      </w:r>
      <w:r w:rsidRPr="007E4F3A">
        <w:rPr>
          <w:rStyle w:val="FootnoteReference"/>
          <w:rFonts w:cstheme="minorHAnsi"/>
          <w:sz w:val="24"/>
          <w:szCs w:val="24"/>
        </w:rPr>
        <w:footnoteReference w:id="30"/>
      </w:r>
      <w:r w:rsidRPr="007E4F3A">
        <w:rPr>
          <w:rFonts w:cstheme="minorHAnsi"/>
          <w:sz w:val="24"/>
          <w:szCs w:val="24"/>
        </w:rPr>
        <w:t xml:space="preserve"> And, some of these courts have decided the (30</w:t>
      </w:r>
      <w:proofErr w:type="gramStart"/>
      <w:r w:rsidRPr="007E4F3A">
        <w:rPr>
          <w:rFonts w:cstheme="minorHAnsi"/>
          <w:sz w:val="24"/>
          <w:szCs w:val="24"/>
        </w:rPr>
        <w:t>)(</w:t>
      </w:r>
      <w:proofErr w:type="gramEnd"/>
      <w:r w:rsidRPr="007E4F3A">
        <w:rPr>
          <w:rFonts w:cstheme="minorHAnsi"/>
          <w:sz w:val="24"/>
          <w:szCs w:val="24"/>
        </w:rPr>
        <w:t>A) question on multiple occasions (more recently, in cases where providers have joined some program beneficiaries).</w:t>
      </w:r>
    </w:p>
    <w:p w:rsidR="001948A1" w:rsidRPr="007E4F3A" w:rsidRDefault="001948A1"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 xml:space="preserve">The vast majority of appeals court cases (38 of the 41 cases) turn on the </w:t>
      </w:r>
      <w:r w:rsidRPr="007E4F3A">
        <w:rPr>
          <w:rFonts w:cstheme="minorHAnsi"/>
          <w:i/>
          <w:sz w:val="24"/>
          <w:szCs w:val="24"/>
        </w:rPr>
        <w:t>first</w:t>
      </w:r>
      <w:r w:rsidRPr="007E4F3A">
        <w:rPr>
          <w:rFonts w:cstheme="minorHAnsi"/>
          <w:sz w:val="24"/>
          <w:szCs w:val="24"/>
        </w:rPr>
        <w:t xml:space="preserve"> prong of the enforcement test (whether the provision in question unambiguously manifests congressional intent to confer individual rights on the plaintiff). The courts have reached the same conclusion when assessing a Medicaid provision against the first prong, and there are no splits among the circuits. </w:t>
      </w:r>
    </w:p>
    <w:p w:rsidR="001948A1" w:rsidRDefault="001948A1" w:rsidP="001948A1">
      <w:pPr>
        <w:spacing w:after="0" w:line="240" w:lineRule="auto"/>
        <w:ind w:firstLine="720"/>
        <w:rPr>
          <w:rFonts w:cstheme="minorHAnsi"/>
          <w:sz w:val="24"/>
          <w:szCs w:val="24"/>
        </w:rPr>
      </w:pPr>
    </w:p>
    <w:p w:rsidR="007E4F3A" w:rsidRPr="007E4F3A" w:rsidRDefault="007E4F3A" w:rsidP="001948A1">
      <w:pPr>
        <w:spacing w:after="0" w:line="240" w:lineRule="auto"/>
        <w:ind w:firstLine="720"/>
        <w:rPr>
          <w:rFonts w:cstheme="minorHAnsi"/>
          <w:sz w:val="24"/>
          <w:szCs w:val="24"/>
        </w:rPr>
      </w:pPr>
      <w:r w:rsidRPr="007E4F3A">
        <w:rPr>
          <w:rFonts w:cstheme="minorHAnsi"/>
          <w:sz w:val="24"/>
          <w:szCs w:val="24"/>
        </w:rPr>
        <w:t xml:space="preserve">The Tenth, Eighth and Third Circuits have, however, reached different conclusions when applying the </w:t>
      </w:r>
      <w:r w:rsidRPr="007E4F3A">
        <w:rPr>
          <w:rFonts w:cstheme="minorHAnsi"/>
          <w:i/>
          <w:sz w:val="24"/>
          <w:szCs w:val="24"/>
        </w:rPr>
        <w:t xml:space="preserve">third </w:t>
      </w:r>
      <w:r w:rsidRPr="007E4F3A">
        <w:rPr>
          <w:rFonts w:cstheme="minorHAnsi"/>
          <w:sz w:val="24"/>
          <w:szCs w:val="24"/>
        </w:rPr>
        <w:t xml:space="preserve">prong of the enforcement test (whether the provision creates a binding obligation on the state). Their assessments pertain to subsections of 42 U.S.C. § </w:t>
      </w:r>
      <w:proofErr w:type="gramStart"/>
      <w:r w:rsidRPr="007E4F3A">
        <w:rPr>
          <w:rFonts w:cstheme="minorHAnsi"/>
          <w:sz w:val="24"/>
          <w:szCs w:val="24"/>
        </w:rPr>
        <w:t>1396d(</w:t>
      </w:r>
      <w:proofErr w:type="gramEnd"/>
      <w:r w:rsidRPr="007E4F3A">
        <w:rPr>
          <w:rFonts w:cstheme="minorHAnsi"/>
          <w:sz w:val="24"/>
          <w:szCs w:val="24"/>
        </w:rPr>
        <w:t xml:space="preserve">p)(4), a Medicaid provision that addresses eligibility when an applicant has a trust. In 2009, the Tenth Circuit held § </w:t>
      </w:r>
      <w:proofErr w:type="gramStart"/>
      <w:r w:rsidRPr="007E4F3A">
        <w:rPr>
          <w:rFonts w:cstheme="minorHAnsi"/>
          <w:sz w:val="24"/>
          <w:szCs w:val="24"/>
        </w:rPr>
        <w:t>1396d(</w:t>
      </w:r>
      <w:proofErr w:type="gramEnd"/>
      <w:r w:rsidRPr="007E4F3A">
        <w:rPr>
          <w:rFonts w:cstheme="minorHAnsi"/>
          <w:sz w:val="24"/>
          <w:szCs w:val="24"/>
        </w:rPr>
        <w:t xml:space="preserve">p)(4)(A) does not impose an unambiguous, binding obligation on the state. </w:t>
      </w:r>
      <w:r w:rsidRPr="007E4F3A">
        <w:rPr>
          <w:rFonts w:cstheme="minorHAnsi"/>
          <w:i/>
          <w:sz w:val="24"/>
          <w:szCs w:val="24"/>
        </w:rPr>
        <w:t xml:space="preserve">See Hobbs v. </w:t>
      </w:r>
      <w:proofErr w:type="spellStart"/>
      <w:r w:rsidRPr="007E4F3A">
        <w:rPr>
          <w:rFonts w:cstheme="minorHAnsi"/>
          <w:i/>
          <w:sz w:val="24"/>
          <w:szCs w:val="24"/>
        </w:rPr>
        <w:t>Zenderman</w:t>
      </w:r>
      <w:proofErr w:type="spellEnd"/>
      <w:r w:rsidRPr="007E4F3A">
        <w:rPr>
          <w:rFonts w:cstheme="minorHAnsi"/>
          <w:sz w:val="24"/>
          <w:szCs w:val="24"/>
        </w:rPr>
        <w:t xml:space="preserve">, </w:t>
      </w:r>
      <w:proofErr w:type="gramStart"/>
      <w:r w:rsidRPr="007E4F3A">
        <w:rPr>
          <w:rFonts w:cstheme="minorHAnsi"/>
          <w:sz w:val="24"/>
          <w:szCs w:val="24"/>
        </w:rPr>
        <w:t>579 F.3d 1171, 1179</w:t>
      </w:r>
      <w:proofErr w:type="gramEnd"/>
      <w:r w:rsidRPr="007E4F3A">
        <w:rPr>
          <w:rFonts w:cstheme="minorHAnsi"/>
          <w:sz w:val="24"/>
          <w:szCs w:val="24"/>
        </w:rPr>
        <w:t xml:space="preserve"> (10th Cir. 2009). That conclusion is based on an earlier case, </w:t>
      </w:r>
      <w:r w:rsidRPr="007E4F3A">
        <w:rPr>
          <w:rFonts w:cstheme="minorHAnsi"/>
          <w:i/>
          <w:sz w:val="24"/>
          <w:szCs w:val="24"/>
        </w:rPr>
        <w:t xml:space="preserve">Keith v. </w:t>
      </w:r>
      <w:proofErr w:type="spellStart"/>
      <w:r w:rsidRPr="007E4F3A">
        <w:rPr>
          <w:rFonts w:cstheme="minorHAnsi"/>
          <w:i/>
          <w:sz w:val="24"/>
          <w:szCs w:val="24"/>
        </w:rPr>
        <w:t>Rizzuto</w:t>
      </w:r>
      <w:proofErr w:type="spellEnd"/>
      <w:r w:rsidRPr="007E4F3A">
        <w:rPr>
          <w:rFonts w:cstheme="minorHAnsi"/>
          <w:sz w:val="24"/>
          <w:szCs w:val="24"/>
        </w:rPr>
        <w:t xml:space="preserve">, 212 </w:t>
      </w:r>
      <w:proofErr w:type="gramStart"/>
      <w:r w:rsidRPr="007E4F3A">
        <w:rPr>
          <w:rFonts w:cstheme="minorHAnsi"/>
          <w:sz w:val="24"/>
          <w:szCs w:val="24"/>
        </w:rPr>
        <w:t>F.3d  1190</w:t>
      </w:r>
      <w:proofErr w:type="gramEnd"/>
      <w:r w:rsidRPr="007E4F3A">
        <w:rPr>
          <w:rFonts w:cstheme="minorHAnsi"/>
          <w:sz w:val="24"/>
          <w:szCs w:val="24"/>
        </w:rPr>
        <w:t xml:space="preserve"> (10th Cir. 2000), that did not discuss private enforcement under § 1983 but held that § 1396p(d)(4)(A) left the states free to decide whether and under what conditions to count trusts for eligibility purposes. </w:t>
      </w:r>
      <w:proofErr w:type="gramStart"/>
      <w:r w:rsidRPr="007E4F3A">
        <w:rPr>
          <w:rFonts w:cstheme="minorHAnsi"/>
          <w:i/>
          <w:sz w:val="24"/>
          <w:szCs w:val="24"/>
        </w:rPr>
        <w:t xml:space="preserve">Id. </w:t>
      </w:r>
      <w:r w:rsidRPr="007E4F3A">
        <w:rPr>
          <w:rFonts w:cstheme="minorHAnsi"/>
          <w:sz w:val="24"/>
          <w:szCs w:val="24"/>
        </w:rPr>
        <w:t xml:space="preserve">at 1180 (citing </w:t>
      </w:r>
      <w:proofErr w:type="spellStart"/>
      <w:r w:rsidRPr="007E4F3A">
        <w:rPr>
          <w:rFonts w:cstheme="minorHAnsi"/>
          <w:i/>
          <w:sz w:val="24"/>
          <w:szCs w:val="24"/>
        </w:rPr>
        <w:t>Rizzuto</w:t>
      </w:r>
      <w:proofErr w:type="spellEnd"/>
      <w:r w:rsidRPr="007E4F3A">
        <w:rPr>
          <w:rFonts w:cstheme="minorHAnsi"/>
          <w:sz w:val="24"/>
          <w:szCs w:val="24"/>
        </w:rPr>
        <w:t>, 212 F.3d at 1193)).</w:t>
      </w:r>
      <w:proofErr w:type="gramEnd"/>
      <w:r w:rsidRPr="007E4F3A">
        <w:rPr>
          <w:rFonts w:cstheme="minorHAnsi"/>
          <w:sz w:val="24"/>
          <w:szCs w:val="24"/>
        </w:rPr>
        <w:t xml:space="preserve"> While acknowledging that “the statute might have been read in the first instance to require States to exempt special needs trusts,” </w:t>
      </w:r>
      <w:r w:rsidRPr="007E4F3A">
        <w:rPr>
          <w:rFonts w:cstheme="minorHAnsi"/>
          <w:i/>
          <w:sz w:val="24"/>
          <w:szCs w:val="24"/>
        </w:rPr>
        <w:t xml:space="preserve">Hobbs </w:t>
      </w:r>
      <w:r w:rsidRPr="007E4F3A">
        <w:rPr>
          <w:rFonts w:cstheme="minorHAnsi"/>
          <w:sz w:val="24"/>
          <w:szCs w:val="24"/>
        </w:rPr>
        <w:t xml:space="preserve">held that construction was foreclosed by </w:t>
      </w:r>
      <w:r w:rsidRPr="007E4F3A">
        <w:rPr>
          <w:rFonts w:cstheme="minorHAnsi"/>
          <w:i/>
          <w:sz w:val="24"/>
          <w:szCs w:val="24"/>
        </w:rPr>
        <w:t xml:space="preserve">Keith </w:t>
      </w:r>
      <w:r w:rsidRPr="007E4F3A">
        <w:rPr>
          <w:rFonts w:cstheme="minorHAnsi"/>
          <w:sz w:val="24"/>
          <w:szCs w:val="24"/>
        </w:rPr>
        <w:t xml:space="preserve">absent </w:t>
      </w:r>
      <w:r w:rsidRPr="007E4F3A">
        <w:rPr>
          <w:rFonts w:cstheme="minorHAnsi"/>
          <w:i/>
          <w:sz w:val="24"/>
          <w:szCs w:val="24"/>
        </w:rPr>
        <w:t>en banc</w:t>
      </w:r>
      <w:r w:rsidRPr="007E4F3A">
        <w:rPr>
          <w:rFonts w:cstheme="minorHAnsi"/>
          <w:sz w:val="24"/>
          <w:szCs w:val="24"/>
        </w:rPr>
        <w:t xml:space="preserve"> reconsideration or a contrary decision from the Supreme Court. </w:t>
      </w:r>
      <w:r w:rsidRPr="007E4F3A">
        <w:rPr>
          <w:rFonts w:cstheme="minorHAnsi"/>
          <w:i/>
          <w:sz w:val="24"/>
          <w:szCs w:val="24"/>
        </w:rPr>
        <w:t>Id.</w:t>
      </w:r>
      <w:r w:rsidRPr="007E4F3A">
        <w:rPr>
          <w:rFonts w:cstheme="minorHAnsi"/>
          <w:sz w:val="24"/>
          <w:szCs w:val="24"/>
        </w:rPr>
        <w:t xml:space="preserve"> </w:t>
      </w:r>
    </w:p>
    <w:p w:rsidR="007E4F3A" w:rsidRDefault="007E4F3A" w:rsidP="001948A1">
      <w:pPr>
        <w:pStyle w:val="FootnoteText"/>
        <w:keepLines/>
        <w:ind w:firstLine="720"/>
        <w:rPr>
          <w:rFonts w:cstheme="minorHAnsi"/>
          <w:sz w:val="24"/>
          <w:szCs w:val="24"/>
        </w:rPr>
      </w:pPr>
      <w:r w:rsidRPr="007E4F3A">
        <w:rPr>
          <w:rFonts w:cstheme="minorHAnsi"/>
          <w:sz w:val="24"/>
          <w:szCs w:val="24"/>
        </w:rPr>
        <w:lastRenderedPageBreak/>
        <w:t xml:space="preserve">By contrast, the other two circuits have held the applicant can enforce other subsections of § </w:t>
      </w:r>
      <w:proofErr w:type="gramStart"/>
      <w:r w:rsidRPr="007E4F3A">
        <w:rPr>
          <w:rFonts w:cstheme="minorHAnsi"/>
          <w:sz w:val="24"/>
          <w:szCs w:val="24"/>
        </w:rPr>
        <w:t>1396d(</w:t>
      </w:r>
      <w:proofErr w:type="gramEnd"/>
      <w:r w:rsidRPr="007E4F3A">
        <w:rPr>
          <w:rFonts w:cstheme="minorHAnsi"/>
          <w:sz w:val="24"/>
          <w:szCs w:val="24"/>
        </w:rPr>
        <w:t xml:space="preserve">p)(4). In </w:t>
      </w:r>
      <w:r w:rsidRPr="007E4F3A">
        <w:rPr>
          <w:rFonts w:cstheme="minorHAnsi"/>
          <w:i/>
          <w:sz w:val="24"/>
          <w:szCs w:val="24"/>
        </w:rPr>
        <w:t>Center for Special Needs Trust Administration v. Olson</w:t>
      </w:r>
      <w:r w:rsidRPr="007E4F3A">
        <w:rPr>
          <w:rFonts w:cstheme="minorHAnsi"/>
          <w:sz w:val="24"/>
          <w:szCs w:val="24"/>
        </w:rPr>
        <w:t xml:space="preserve">, 676 F.3d 688 (8th Cir. 2012), the Eighth Circuit acknowledged </w:t>
      </w:r>
      <w:r w:rsidRPr="007E4F3A">
        <w:rPr>
          <w:rFonts w:cstheme="minorHAnsi"/>
          <w:i/>
          <w:sz w:val="24"/>
          <w:szCs w:val="24"/>
        </w:rPr>
        <w:t xml:space="preserve">Hobbs </w:t>
      </w:r>
      <w:r w:rsidRPr="007E4F3A">
        <w:rPr>
          <w:rFonts w:cstheme="minorHAnsi"/>
          <w:sz w:val="24"/>
          <w:szCs w:val="24"/>
        </w:rPr>
        <w:t xml:space="preserve">but pointed out that </w:t>
      </w:r>
      <w:r w:rsidRPr="007E4F3A">
        <w:rPr>
          <w:rFonts w:cstheme="minorHAnsi"/>
          <w:i/>
          <w:sz w:val="24"/>
          <w:szCs w:val="24"/>
        </w:rPr>
        <w:t xml:space="preserve">Hobbs </w:t>
      </w:r>
      <w:r w:rsidRPr="007E4F3A">
        <w:rPr>
          <w:rFonts w:cstheme="minorHAnsi"/>
          <w:sz w:val="24"/>
          <w:szCs w:val="24"/>
        </w:rPr>
        <w:t xml:space="preserve">concerned paragraph (A) while the case before it raised a claim under paragraph (C). The court declined to apply </w:t>
      </w:r>
      <w:r w:rsidRPr="007E4F3A">
        <w:rPr>
          <w:rFonts w:cstheme="minorHAnsi"/>
          <w:i/>
          <w:sz w:val="24"/>
          <w:szCs w:val="24"/>
        </w:rPr>
        <w:t>Hobbs</w:t>
      </w:r>
      <w:r w:rsidRPr="007E4F3A">
        <w:rPr>
          <w:rFonts w:cstheme="minorHAnsi"/>
          <w:sz w:val="24"/>
          <w:szCs w:val="24"/>
        </w:rPr>
        <w:t xml:space="preserve">, finding paragraph (C) contains the mandatory language “shall not” when describing the obligation imposed on the state and, thus, creates a binding obligation on the state. </w:t>
      </w:r>
      <w:r w:rsidRPr="007E4F3A">
        <w:rPr>
          <w:rFonts w:cstheme="minorHAnsi"/>
          <w:i/>
          <w:sz w:val="24"/>
          <w:szCs w:val="24"/>
        </w:rPr>
        <w:t>Id.</w:t>
      </w:r>
      <w:r w:rsidR="00F03FA8">
        <w:rPr>
          <w:rFonts w:cstheme="minorHAnsi"/>
          <w:i/>
          <w:sz w:val="24"/>
          <w:szCs w:val="24"/>
        </w:rPr>
        <w:t xml:space="preserve"> </w:t>
      </w:r>
      <w:r w:rsidRPr="007E4F3A">
        <w:rPr>
          <w:rFonts w:cstheme="minorHAnsi"/>
          <w:sz w:val="24"/>
          <w:szCs w:val="24"/>
        </w:rPr>
        <w:t xml:space="preserve">at 700 n.2. Most recently, the Third Circuit concluded that paragraph (C) imposes mandatory obligations on the state and can be enforced under § 1983. </w:t>
      </w:r>
      <w:r w:rsidRPr="007E4F3A">
        <w:rPr>
          <w:rFonts w:cstheme="minorHAnsi"/>
          <w:i/>
          <w:sz w:val="24"/>
          <w:szCs w:val="24"/>
        </w:rPr>
        <w:t>See Lewis v. Alexander</w:t>
      </w:r>
      <w:r w:rsidRPr="007E4F3A">
        <w:rPr>
          <w:rFonts w:cstheme="minorHAnsi"/>
          <w:sz w:val="24"/>
          <w:szCs w:val="24"/>
        </w:rPr>
        <w:t xml:space="preserve">, 685 F.3d 325, 333-34, 342 (3d Cir. 2012); </w:t>
      </w:r>
      <w:r w:rsidRPr="007E4F3A">
        <w:rPr>
          <w:rFonts w:cstheme="minorHAnsi"/>
          <w:i/>
          <w:sz w:val="24"/>
          <w:szCs w:val="24"/>
        </w:rPr>
        <w:t xml:space="preserve">id. </w:t>
      </w:r>
      <w:proofErr w:type="gramStart"/>
      <w:r w:rsidRPr="007E4F3A">
        <w:rPr>
          <w:rFonts w:cstheme="minorHAnsi"/>
          <w:sz w:val="24"/>
          <w:szCs w:val="24"/>
        </w:rPr>
        <w:t>at</w:t>
      </w:r>
      <w:proofErr w:type="gramEnd"/>
      <w:r w:rsidRPr="007E4F3A">
        <w:rPr>
          <w:rFonts w:cstheme="minorHAnsi"/>
          <w:sz w:val="24"/>
          <w:szCs w:val="24"/>
        </w:rPr>
        <w:t xml:space="preserve"> 344 (acknowledging </w:t>
      </w:r>
      <w:proofErr w:type="spellStart"/>
      <w:r w:rsidRPr="007E4F3A">
        <w:rPr>
          <w:rFonts w:cstheme="minorHAnsi"/>
          <w:i/>
          <w:sz w:val="24"/>
          <w:szCs w:val="24"/>
        </w:rPr>
        <w:t>Rizzuto</w:t>
      </w:r>
      <w:proofErr w:type="spellEnd"/>
      <w:r w:rsidRPr="007E4F3A">
        <w:rPr>
          <w:rFonts w:cstheme="minorHAnsi"/>
          <w:i/>
          <w:sz w:val="24"/>
          <w:szCs w:val="24"/>
        </w:rPr>
        <w:t xml:space="preserve"> </w:t>
      </w:r>
      <w:r w:rsidRPr="007E4F3A">
        <w:rPr>
          <w:rFonts w:cstheme="minorHAnsi"/>
          <w:sz w:val="24"/>
          <w:szCs w:val="24"/>
        </w:rPr>
        <w:t xml:space="preserve">and </w:t>
      </w:r>
      <w:r w:rsidRPr="007E4F3A">
        <w:rPr>
          <w:rFonts w:cstheme="minorHAnsi"/>
          <w:i/>
          <w:sz w:val="24"/>
          <w:szCs w:val="24"/>
        </w:rPr>
        <w:t xml:space="preserve">Hobbs </w:t>
      </w:r>
      <w:r w:rsidRPr="007E4F3A">
        <w:rPr>
          <w:rFonts w:cstheme="minorHAnsi"/>
          <w:sz w:val="24"/>
          <w:szCs w:val="24"/>
        </w:rPr>
        <w:t xml:space="preserve">but stating, “Here, Congress has not only provided a comprehensive system of asset-counting rules, it has actually legislated on this precise class of asset” and required states to exempt any trust meeting the provision of § 1396p(d)(4)). The Supreme Court denied certiorari in </w:t>
      </w:r>
      <w:r w:rsidRPr="007E4F3A">
        <w:rPr>
          <w:rFonts w:cstheme="minorHAnsi"/>
          <w:i/>
          <w:sz w:val="24"/>
          <w:szCs w:val="24"/>
        </w:rPr>
        <w:t>Lewis</w:t>
      </w:r>
      <w:r w:rsidRPr="007E4F3A">
        <w:rPr>
          <w:rFonts w:cstheme="minorHAnsi"/>
          <w:sz w:val="24"/>
          <w:szCs w:val="24"/>
        </w:rPr>
        <w:t xml:space="preserve">. </w:t>
      </w:r>
      <w:r w:rsidRPr="007E4F3A">
        <w:rPr>
          <w:rFonts w:cstheme="minorHAnsi"/>
          <w:i/>
          <w:sz w:val="24"/>
          <w:szCs w:val="24"/>
        </w:rPr>
        <w:t xml:space="preserve">See </w:t>
      </w:r>
      <w:r w:rsidRPr="007E4F3A">
        <w:rPr>
          <w:rFonts w:cstheme="minorHAnsi"/>
          <w:sz w:val="24"/>
          <w:szCs w:val="24"/>
        </w:rPr>
        <w:t xml:space="preserve">133 S. Ct. 933 (2013). </w:t>
      </w:r>
    </w:p>
    <w:p w:rsidR="001948A1" w:rsidRDefault="001948A1" w:rsidP="001948A1">
      <w:pPr>
        <w:pStyle w:val="FootnoteText"/>
        <w:keepLines/>
        <w:ind w:firstLine="720"/>
        <w:rPr>
          <w:rFonts w:cstheme="minorHAnsi"/>
          <w:sz w:val="24"/>
          <w:szCs w:val="24"/>
        </w:rPr>
      </w:pPr>
    </w:p>
    <w:p w:rsidR="001948A1" w:rsidRDefault="001948A1" w:rsidP="001948A1">
      <w:pPr>
        <w:pStyle w:val="FootnoteText"/>
        <w:keepLines/>
        <w:ind w:firstLine="720"/>
        <w:rPr>
          <w:rFonts w:cstheme="minorHAnsi"/>
          <w:sz w:val="24"/>
          <w:szCs w:val="24"/>
        </w:rPr>
      </w:pPr>
    </w:p>
    <w:p w:rsidR="001948A1" w:rsidRDefault="001948A1" w:rsidP="001948A1">
      <w:pPr>
        <w:pStyle w:val="FootnoteText"/>
        <w:keepLines/>
        <w:ind w:firstLine="720"/>
        <w:rPr>
          <w:rFonts w:cstheme="minorHAnsi"/>
          <w:sz w:val="24"/>
          <w:szCs w:val="24"/>
        </w:rPr>
      </w:pPr>
    </w:p>
    <w:p w:rsidR="007E4F3A" w:rsidRPr="007E4F3A" w:rsidRDefault="007E4F3A" w:rsidP="001948A1">
      <w:pPr>
        <w:spacing w:after="0" w:line="240" w:lineRule="auto"/>
        <w:ind w:left="2880" w:firstLine="720"/>
        <w:rPr>
          <w:rFonts w:cstheme="minorHAnsi"/>
          <w:b/>
          <w:sz w:val="24"/>
          <w:szCs w:val="24"/>
        </w:rPr>
      </w:pPr>
      <w:r w:rsidRPr="007E4F3A">
        <w:rPr>
          <w:rFonts w:cstheme="minorHAnsi"/>
          <w:b/>
          <w:sz w:val="24"/>
          <w:szCs w:val="24"/>
        </w:rPr>
        <w:t>Table 2</w:t>
      </w:r>
    </w:p>
    <w:p w:rsidR="007E4F3A" w:rsidRDefault="007E4F3A" w:rsidP="001948A1">
      <w:pPr>
        <w:spacing w:after="0" w:line="240" w:lineRule="auto"/>
        <w:rPr>
          <w:rFonts w:cstheme="minorHAnsi"/>
          <w:b/>
          <w:sz w:val="24"/>
          <w:szCs w:val="24"/>
        </w:rPr>
      </w:pPr>
      <w:r w:rsidRPr="007E4F3A">
        <w:rPr>
          <w:rFonts w:cstheme="minorHAnsi"/>
          <w:b/>
          <w:sz w:val="24"/>
          <w:szCs w:val="24"/>
        </w:rPr>
        <w:t>Circuit Court Enforcement of Medicaid Provisions, June 2002-Sept. 2012</w:t>
      </w:r>
    </w:p>
    <w:p w:rsidR="001948A1" w:rsidRPr="007E4F3A" w:rsidRDefault="001948A1" w:rsidP="001948A1">
      <w:pPr>
        <w:spacing w:after="0" w:line="240" w:lineRule="auto"/>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970"/>
        <w:gridCol w:w="2610"/>
      </w:tblGrid>
      <w:tr w:rsidR="007E4F3A" w:rsidRPr="007E4F3A" w:rsidTr="00C115FD">
        <w:tc>
          <w:tcPr>
            <w:tcW w:w="3348" w:type="dxa"/>
          </w:tcPr>
          <w:p w:rsidR="007E4F3A" w:rsidRPr="007E4F3A" w:rsidRDefault="007E4F3A" w:rsidP="00C115FD">
            <w:pPr>
              <w:jc w:val="center"/>
              <w:rPr>
                <w:rFonts w:cstheme="minorHAnsi"/>
                <w:b/>
                <w:sz w:val="24"/>
                <w:szCs w:val="24"/>
              </w:rPr>
            </w:pPr>
            <w:r w:rsidRPr="007E4F3A">
              <w:rPr>
                <w:rFonts w:cstheme="minorHAnsi"/>
                <w:b/>
                <w:sz w:val="24"/>
                <w:szCs w:val="24"/>
              </w:rPr>
              <w:t>Medicaid Provision (42 U.S.C. § 1396)</w:t>
            </w:r>
          </w:p>
        </w:tc>
        <w:tc>
          <w:tcPr>
            <w:tcW w:w="2970" w:type="dxa"/>
          </w:tcPr>
          <w:p w:rsidR="007E4F3A" w:rsidRPr="007E4F3A" w:rsidRDefault="007E4F3A" w:rsidP="00C115FD">
            <w:pPr>
              <w:jc w:val="center"/>
              <w:rPr>
                <w:rFonts w:cstheme="minorHAnsi"/>
                <w:b/>
                <w:sz w:val="24"/>
                <w:szCs w:val="24"/>
              </w:rPr>
            </w:pPr>
            <w:r w:rsidRPr="007E4F3A">
              <w:rPr>
                <w:rFonts w:cstheme="minorHAnsi"/>
                <w:b/>
                <w:sz w:val="24"/>
                <w:szCs w:val="24"/>
              </w:rPr>
              <w:t>Held Enforceable</w:t>
            </w:r>
          </w:p>
        </w:tc>
        <w:tc>
          <w:tcPr>
            <w:tcW w:w="2610" w:type="dxa"/>
          </w:tcPr>
          <w:p w:rsidR="007E4F3A" w:rsidRPr="007E4F3A" w:rsidRDefault="007E4F3A" w:rsidP="00C115FD">
            <w:pPr>
              <w:jc w:val="center"/>
              <w:rPr>
                <w:rFonts w:cstheme="minorHAnsi"/>
                <w:b/>
                <w:sz w:val="24"/>
                <w:szCs w:val="24"/>
              </w:rPr>
            </w:pPr>
            <w:r w:rsidRPr="007E4F3A">
              <w:rPr>
                <w:rFonts w:cstheme="minorHAnsi"/>
                <w:b/>
                <w:sz w:val="24"/>
                <w:szCs w:val="24"/>
              </w:rPr>
              <w:t>Held Unenforceable</w:t>
            </w:r>
          </w:p>
        </w:tc>
      </w:tr>
      <w:tr w:rsidR="007E4F3A" w:rsidRPr="007E4F3A" w:rsidTr="00C115FD">
        <w:tc>
          <w:tcPr>
            <w:tcW w:w="3348" w:type="dxa"/>
          </w:tcPr>
          <w:p w:rsidR="007E4F3A" w:rsidRPr="007E4F3A" w:rsidRDefault="007E4F3A" w:rsidP="00C115FD">
            <w:pPr>
              <w:rPr>
                <w:rFonts w:cstheme="minorHAnsi"/>
                <w:sz w:val="24"/>
                <w:szCs w:val="24"/>
              </w:rPr>
            </w:pPr>
            <w:r w:rsidRPr="007E4F3A">
              <w:rPr>
                <w:rFonts w:cstheme="minorHAnsi"/>
                <w:sz w:val="24"/>
                <w:szCs w:val="24"/>
              </w:rPr>
              <w:t>a(a)(3)-fair hearing</w:t>
            </w:r>
          </w:p>
        </w:tc>
        <w:tc>
          <w:tcPr>
            <w:tcW w:w="2970" w:type="dxa"/>
          </w:tcPr>
          <w:p w:rsidR="007E4F3A" w:rsidRPr="007E4F3A" w:rsidRDefault="007E4F3A" w:rsidP="00C115FD">
            <w:pPr>
              <w:rPr>
                <w:rFonts w:cstheme="minorHAnsi"/>
                <w:sz w:val="24"/>
                <w:szCs w:val="24"/>
              </w:rPr>
            </w:pPr>
            <w:r w:rsidRPr="007E4F3A">
              <w:rPr>
                <w:rFonts w:cstheme="minorHAnsi"/>
                <w:sz w:val="24"/>
                <w:szCs w:val="24"/>
              </w:rPr>
              <w:t>2d (2012), 6th (2003)</w:t>
            </w:r>
          </w:p>
        </w:tc>
        <w:tc>
          <w:tcPr>
            <w:tcW w:w="2610" w:type="dxa"/>
          </w:tcPr>
          <w:p w:rsidR="007E4F3A" w:rsidRPr="007E4F3A" w:rsidRDefault="007E4F3A" w:rsidP="00C115FD">
            <w:pPr>
              <w:rPr>
                <w:rFonts w:cstheme="minorHAnsi"/>
                <w:sz w:val="24"/>
                <w:szCs w:val="24"/>
              </w:rPr>
            </w:pPr>
          </w:p>
        </w:tc>
      </w:tr>
      <w:tr w:rsidR="007E4F3A" w:rsidRPr="007E4F3A" w:rsidTr="00C115FD">
        <w:tc>
          <w:tcPr>
            <w:tcW w:w="3348" w:type="dxa"/>
          </w:tcPr>
          <w:p w:rsidR="007E4F3A" w:rsidRPr="007E4F3A" w:rsidRDefault="007E4F3A" w:rsidP="00C115FD">
            <w:pPr>
              <w:rPr>
                <w:rFonts w:cstheme="minorHAnsi"/>
                <w:sz w:val="24"/>
                <w:szCs w:val="24"/>
              </w:rPr>
            </w:pPr>
            <w:r w:rsidRPr="007E4F3A">
              <w:rPr>
                <w:rFonts w:cstheme="minorHAnsi"/>
                <w:sz w:val="24"/>
                <w:szCs w:val="24"/>
              </w:rPr>
              <w:t>a(a)(8)-reasonable promptness</w:t>
            </w:r>
          </w:p>
        </w:tc>
        <w:tc>
          <w:tcPr>
            <w:tcW w:w="2970" w:type="dxa"/>
          </w:tcPr>
          <w:p w:rsidR="007E4F3A" w:rsidRPr="007E4F3A" w:rsidRDefault="007E4F3A" w:rsidP="00C115FD">
            <w:pPr>
              <w:rPr>
                <w:rFonts w:cstheme="minorHAnsi"/>
                <w:sz w:val="24"/>
                <w:szCs w:val="24"/>
              </w:rPr>
            </w:pPr>
            <w:r w:rsidRPr="007E4F3A">
              <w:rPr>
                <w:rFonts w:cstheme="minorHAnsi"/>
                <w:sz w:val="24"/>
                <w:szCs w:val="24"/>
              </w:rPr>
              <w:t>1st (2002), 3d (2004) 4th (2011, 2007), 5th (2013) 6th (2006)</w:t>
            </w:r>
          </w:p>
        </w:tc>
        <w:tc>
          <w:tcPr>
            <w:tcW w:w="2610" w:type="dxa"/>
          </w:tcPr>
          <w:p w:rsidR="007E4F3A" w:rsidRPr="007E4F3A" w:rsidRDefault="007E4F3A" w:rsidP="00C115FD">
            <w:pPr>
              <w:rPr>
                <w:rFonts w:cstheme="minorHAnsi"/>
                <w:sz w:val="24"/>
                <w:szCs w:val="24"/>
              </w:rPr>
            </w:pPr>
          </w:p>
        </w:tc>
      </w:tr>
      <w:tr w:rsidR="007E4F3A" w:rsidRPr="007E4F3A" w:rsidTr="00C115FD">
        <w:tc>
          <w:tcPr>
            <w:tcW w:w="3348" w:type="dxa"/>
          </w:tcPr>
          <w:p w:rsidR="007E4F3A" w:rsidRPr="007E4F3A" w:rsidRDefault="007E4F3A" w:rsidP="00C115FD">
            <w:pPr>
              <w:rPr>
                <w:rFonts w:cstheme="minorHAnsi"/>
                <w:sz w:val="24"/>
                <w:szCs w:val="24"/>
              </w:rPr>
            </w:pPr>
            <w:r w:rsidRPr="007E4F3A">
              <w:rPr>
                <w:rFonts w:cstheme="minorHAnsi"/>
                <w:sz w:val="24"/>
                <w:szCs w:val="24"/>
              </w:rPr>
              <w:t xml:space="preserve">a(a)(10)(C)–medically needy </w:t>
            </w:r>
          </w:p>
        </w:tc>
        <w:tc>
          <w:tcPr>
            <w:tcW w:w="2970" w:type="dxa"/>
          </w:tcPr>
          <w:p w:rsidR="007E4F3A" w:rsidRPr="007E4F3A" w:rsidRDefault="007E4F3A" w:rsidP="00C115FD">
            <w:pPr>
              <w:rPr>
                <w:rFonts w:cstheme="minorHAnsi"/>
                <w:sz w:val="24"/>
                <w:szCs w:val="24"/>
              </w:rPr>
            </w:pPr>
          </w:p>
        </w:tc>
        <w:tc>
          <w:tcPr>
            <w:tcW w:w="2610" w:type="dxa"/>
          </w:tcPr>
          <w:p w:rsidR="007E4F3A" w:rsidRPr="007E4F3A" w:rsidRDefault="007E4F3A" w:rsidP="00C115FD">
            <w:pPr>
              <w:rPr>
                <w:rFonts w:cstheme="minorHAnsi"/>
                <w:sz w:val="24"/>
                <w:szCs w:val="24"/>
              </w:rPr>
            </w:pPr>
            <w:r w:rsidRPr="007E4F3A">
              <w:rPr>
                <w:rFonts w:cstheme="minorHAnsi"/>
                <w:sz w:val="24"/>
                <w:szCs w:val="24"/>
              </w:rPr>
              <w:t>10th (2009)</w:t>
            </w:r>
          </w:p>
        </w:tc>
      </w:tr>
      <w:tr w:rsidR="007E4F3A" w:rsidRPr="007E4F3A" w:rsidTr="00C115FD">
        <w:tc>
          <w:tcPr>
            <w:tcW w:w="3348" w:type="dxa"/>
          </w:tcPr>
          <w:p w:rsidR="007E4F3A" w:rsidRPr="007E4F3A" w:rsidRDefault="007E4F3A" w:rsidP="00C115FD">
            <w:pPr>
              <w:rPr>
                <w:rFonts w:cstheme="minorHAnsi"/>
                <w:sz w:val="24"/>
                <w:szCs w:val="24"/>
              </w:rPr>
            </w:pPr>
            <w:r w:rsidRPr="007E4F3A">
              <w:rPr>
                <w:rFonts w:cstheme="minorHAnsi"/>
                <w:sz w:val="24"/>
                <w:szCs w:val="24"/>
              </w:rPr>
              <w:t>a(a)(13)(A)–institutional payment rates; notice process</w:t>
            </w:r>
          </w:p>
        </w:tc>
        <w:tc>
          <w:tcPr>
            <w:tcW w:w="2970" w:type="dxa"/>
          </w:tcPr>
          <w:p w:rsidR="007E4F3A" w:rsidRPr="007E4F3A" w:rsidRDefault="007E4F3A" w:rsidP="00C115FD">
            <w:pPr>
              <w:rPr>
                <w:rFonts w:cstheme="minorHAnsi"/>
                <w:sz w:val="24"/>
                <w:szCs w:val="24"/>
              </w:rPr>
            </w:pPr>
          </w:p>
        </w:tc>
        <w:tc>
          <w:tcPr>
            <w:tcW w:w="2610" w:type="dxa"/>
          </w:tcPr>
          <w:p w:rsidR="007E4F3A" w:rsidRPr="007E4F3A" w:rsidRDefault="007E4F3A" w:rsidP="00C115FD">
            <w:pPr>
              <w:rPr>
                <w:rFonts w:cstheme="minorHAnsi"/>
                <w:sz w:val="24"/>
                <w:szCs w:val="24"/>
              </w:rPr>
            </w:pPr>
            <w:r w:rsidRPr="007E4F3A">
              <w:rPr>
                <w:rFonts w:cstheme="minorHAnsi"/>
                <w:sz w:val="24"/>
                <w:szCs w:val="24"/>
              </w:rPr>
              <w:t xml:space="preserve">2d (2006) </w:t>
            </w:r>
          </w:p>
        </w:tc>
      </w:tr>
      <w:tr w:rsidR="007E4F3A" w:rsidRPr="007E4F3A" w:rsidTr="00C115FD">
        <w:tc>
          <w:tcPr>
            <w:tcW w:w="3348" w:type="dxa"/>
          </w:tcPr>
          <w:p w:rsidR="007E4F3A" w:rsidRPr="007E4F3A" w:rsidRDefault="007E4F3A" w:rsidP="00C115FD">
            <w:pPr>
              <w:rPr>
                <w:rFonts w:cstheme="minorHAnsi"/>
                <w:sz w:val="24"/>
                <w:szCs w:val="24"/>
              </w:rPr>
            </w:pPr>
            <w:r w:rsidRPr="007E4F3A">
              <w:rPr>
                <w:rFonts w:cstheme="minorHAnsi"/>
                <w:sz w:val="24"/>
                <w:szCs w:val="24"/>
              </w:rPr>
              <w:t>a(a)(17)-reasonable standards</w:t>
            </w:r>
          </w:p>
        </w:tc>
        <w:tc>
          <w:tcPr>
            <w:tcW w:w="2970" w:type="dxa"/>
          </w:tcPr>
          <w:p w:rsidR="007E4F3A" w:rsidRPr="007E4F3A" w:rsidRDefault="007E4F3A" w:rsidP="00C115FD">
            <w:pPr>
              <w:rPr>
                <w:rFonts w:cstheme="minorHAnsi"/>
                <w:sz w:val="24"/>
                <w:szCs w:val="24"/>
              </w:rPr>
            </w:pPr>
          </w:p>
        </w:tc>
        <w:tc>
          <w:tcPr>
            <w:tcW w:w="2610" w:type="dxa"/>
          </w:tcPr>
          <w:p w:rsidR="007E4F3A" w:rsidRPr="007E4F3A" w:rsidRDefault="007E4F3A" w:rsidP="00C115FD">
            <w:pPr>
              <w:rPr>
                <w:rFonts w:cstheme="minorHAnsi"/>
                <w:sz w:val="24"/>
                <w:szCs w:val="24"/>
              </w:rPr>
            </w:pPr>
            <w:r w:rsidRPr="007E4F3A">
              <w:rPr>
                <w:rFonts w:cstheme="minorHAnsi"/>
                <w:sz w:val="24"/>
                <w:szCs w:val="24"/>
              </w:rPr>
              <w:t>8th (2006); 9th (2006); 10th (2009)</w:t>
            </w:r>
          </w:p>
        </w:tc>
      </w:tr>
      <w:tr w:rsidR="007E4F3A" w:rsidRPr="007E4F3A" w:rsidTr="00C115FD">
        <w:tc>
          <w:tcPr>
            <w:tcW w:w="3348" w:type="dxa"/>
          </w:tcPr>
          <w:p w:rsidR="007E4F3A" w:rsidRPr="007E4F3A" w:rsidRDefault="007E4F3A" w:rsidP="00C115FD">
            <w:pPr>
              <w:rPr>
                <w:rFonts w:cstheme="minorHAnsi"/>
                <w:sz w:val="24"/>
                <w:szCs w:val="24"/>
              </w:rPr>
            </w:pPr>
            <w:r w:rsidRPr="007E4F3A">
              <w:rPr>
                <w:rFonts w:cstheme="minorHAnsi"/>
                <w:sz w:val="24"/>
                <w:szCs w:val="24"/>
              </w:rPr>
              <w:t>a(a)(19)-best interests</w:t>
            </w:r>
          </w:p>
        </w:tc>
        <w:tc>
          <w:tcPr>
            <w:tcW w:w="2970" w:type="dxa"/>
          </w:tcPr>
          <w:p w:rsidR="007E4F3A" w:rsidRPr="007E4F3A" w:rsidRDefault="007E4F3A" w:rsidP="00C115FD">
            <w:pPr>
              <w:rPr>
                <w:rFonts w:cstheme="minorHAnsi"/>
                <w:sz w:val="24"/>
                <w:szCs w:val="24"/>
              </w:rPr>
            </w:pPr>
          </w:p>
        </w:tc>
        <w:tc>
          <w:tcPr>
            <w:tcW w:w="2610" w:type="dxa"/>
          </w:tcPr>
          <w:p w:rsidR="007E4F3A" w:rsidRPr="007E4F3A" w:rsidRDefault="007E4F3A" w:rsidP="00C115FD">
            <w:pPr>
              <w:rPr>
                <w:rFonts w:cstheme="minorHAnsi"/>
                <w:sz w:val="24"/>
                <w:szCs w:val="24"/>
              </w:rPr>
            </w:pPr>
            <w:r w:rsidRPr="007E4F3A">
              <w:rPr>
                <w:rFonts w:cstheme="minorHAnsi"/>
                <w:sz w:val="24"/>
                <w:szCs w:val="24"/>
              </w:rPr>
              <w:t>7th (2003)</w:t>
            </w:r>
          </w:p>
        </w:tc>
      </w:tr>
      <w:tr w:rsidR="007E4F3A" w:rsidRPr="007E4F3A" w:rsidTr="00C115FD">
        <w:tc>
          <w:tcPr>
            <w:tcW w:w="3348" w:type="dxa"/>
          </w:tcPr>
          <w:p w:rsidR="007E4F3A" w:rsidRPr="007E4F3A" w:rsidRDefault="007E4F3A" w:rsidP="00C115FD">
            <w:pPr>
              <w:rPr>
                <w:rFonts w:cstheme="minorHAnsi"/>
                <w:sz w:val="24"/>
                <w:szCs w:val="24"/>
              </w:rPr>
            </w:pPr>
            <w:r w:rsidRPr="007E4F3A">
              <w:rPr>
                <w:rFonts w:cstheme="minorHAnsi"/>
                <w:sz w:val="24"/>
                <w:szCs w:val="24"/>
              </w:rPr>
              <w:t>a(a)(23)(A)-free choice of provider</w:t>
            </w:r>
          </w:p>
        </w:tc>
        <w:tc>
          <w:tcPr>
            <w:tcW w:w="2970" w:type="dxa"/>
          </w:tcPr>
          <w:p w:rsidR="007E4F3A" w:rsidRPr="007E4F3A" w:rsidRDefault="007E4F3A" w:rsidP="00C115FD">
            <w:pPr>
              <w:rPr>
                <w:rFonts w:cstheme="minorHAnsi"/>
                <w:sz w:val="24"/>
                <w:szCs w:val="24"/>
              </w:rPr>
            </w:pPr>
            <w:r w:rsidRPr="007E4F3A">
              <w:rPr>
                <w:rFonts w:cstheme="minorHAnsi"/>
                <w:sz w:val="24"/>
                <w:szCs w:val="24"/>
              </w:rPr>
              <w:t>6th (2006), 7th (2012), 9th (2013)</w:t>
            </w:r>
          </w:p>
        </w:tc>
        <w:tc>
          <w:tcPr>
            <w:tcW w:w="2610" w:type="dxa"/>
          </w:tcPr>
          <w:p w:rsidR="007E4F3A" w:rsidRPr="007E4F3A" w:rsidRDefault="007E4F3A" w:rsidP="00C115FD">
            <w:pPr>
              <w:rPr>
                <w:rFonts w:cstheme="minorHAnsi"/>
                <w:sz w:val="24"/>
                <w:szCs w:val="24"/>
              </w:rPr>
            </w:pPr>
          </w:p>
        </w:tc>
      </w:tr>
      <w:tr w:rsidR="007E4F3A" w:rsidRPr="007E4F3A" w:rsidTr="00C115FD">
        <w:tc>
          <w:tcPr>
            <w:tcW w:w="3348" w:type="dxa"/>
          </w:tcPr>
          <w:p w:rsidR="007E4F3A" w:rsidRPr="007E4F3A" w:rsidRDefault="007E4F3A" w:rsidP="00C115FD">
            <w:pPr>
              <w:rPr>
                <w:rFonts w:cstheme="minorHAnsi"/>
                <w:sz w:val="24"/>
                <w:szCs w:val="24"/>
              </w:rPr>
            </w:pPr>
            <w:r w:rsidRPr="007E4F3A">
              <w:rPr>
                <w:rFonts w:cstheme="minorHAnsi"/>
                <w:sz w:val="24"/>
                <w:szCs w:val="24"/>
              </w:rPr>
              <w:t>a(a)(25) – third party liability</w:t>
            </w:r>
          </w:p>
        </w:tc>
        <w:tc>
          <w:tcPr>
            <w:tcW w:w="2970" w:type="dxa"/>
          </w:tcPr>
          <w:p w:rsidR="007E4F3A" w:rsidRPr="007E4F3A" w:rsidRDefault="007E4F3A" w:rsidP="00C115FD">
            <w:pPr>
              <w:rPr>
                <w:rFonts w:cstheme="minorHAnsi"/>
                <w:sz w:val="24"/>
                <w:szCs w:val="24"/>
              </w:rPr>
            </w:pPr>
          </w:p>
        </w:tc>
        <w:tc>
          <w:tcPr>
            <w:tcW w:w="2610" w:type="dxa"/>
          </w:tcPr>
          <w:p w:rsidR="007E4F3A" w:rsidRPr="007E4F3A" w:rsidRDefault="007E4F3A" w:rsidP="00C115FD">
            <w:pPr>
              <w:rPr>
                <w:rFonts w:cstheme="minorHAnsi"/>
                <w:sz w:val="24"/>
                <w:szCs w:val="24"/>
              </w:rPr>
            </w:pPr>
            <w:r w:rsidRPr="007E4F3A">
              <w:rPr>
                <w:rFonts w:cstheme="minorHAnsi"/>
                <w:sz w:val="24"/>
                <w:szCs w:val="24"/>
              </w:rPr>
              <w:t>11th (2012)</w:t>
            </w:r>
          </w:p>
        </w:tc>
      </w:tr>
      <w:tr w:rsidR="001948A1" w:rsidRPr="007E4F3A" w:rsidTr="00C115FD">
        <w:tc>
          <w:tcPr>
            <w:tcW w:w="3348" w:type="dxa"/>
          </w:tcPr>
          <w:p w:rsidR="001948A1" w:rsidRPr="007E4F3A" w:rsidRDefault="001948A1" w:rsidP="009773DC">
            <w:pPr>
              <w:jc w:val="center"/>
              <w:rPr>
                <w:rFonts w:cstheme="minorHAnsi"/>
                <w:b/>
                <w:sz w:val="24"/>
                <w:szCs w:val="24"/>
              </w:rPr>
            </w:pPr>
            <w:r w:rsidRPr="007E4F3A">
              <w:rPr>
                <w:rFonts w:cstheme="minorHAnsi"/>
                <w:b/>
                <w:sz w:val="24"/>
                <w:szCs w:val="24"/>
              </w:rPr>
              <w:lastRenderedPageBreak/>
              <w:t>Medicaid Provision (42 U.S.C. § 1396)</w:t>
            </w:r>
          </w:p>
        </w:tc>
        <w:tc>
          <w:tcPr>
            <w:tcW w:w="2970" w:type="dxa"/>
          </w:tcPr>
          <w:p w:rsidR="001948A1" w:rsidRPr="007E4F3A" w:rsidRDefault="001948A1" w:rsidP="009773DC">
            <w:pPr>
              <w:jc w:val="center"/>
              <w:rPr>
                <w:rFonts w:cstheme="minorHAnsi"/>
                <w:b/>
                <w:sz w:val="24"/>
                <w:szCs w:val="24"/>
              </w:rPr>
            </w:pPr>
            <w:r w:rsidRPr="007E4F3A">
              <w:rPr>
                <w:rFonts w:cstheme="minorHAnsi"/>
                <w:b/>
                <w:sz w:val="24"/>
                <w:szCs w:val="24"/>
              </w:rPr>
              <w:t>Held Enforceable</w:t>
            </w:r>
          </w:p>
        </w:tc>
        <w:tc>
          <w:tcPr>
            <w:tcW w:w="2610" w:type="dxa"/>
          </w:tcPr>
          <w:p w:rsidR="001948A1" w:rsidRPr="007E4F3A" w:rsidRDefault="001948A1" w:rsidP="009773DC">
            <w:pPr>
              <w:jc w:val="center"/>
              <w:rPr>
                <w:rFonts w:cstheme="minorHAnsi"/>
                <w:b/>
                <w:sz w:val="24"/>
                <w:szCs w:val="24"/>
              </w:rPr>
            </w:pPr>
            <w:r w:rsidRPr="007E4F3A">
              <w:rPr>
                <w:rFonts w:cstheme="minorHAnsi"/>
                <w:b/>
                <w:sz w:val="24"/>
                <w:szCs w:val="24"/>
              </w:rPr>
              <w:t>Held Unenforceable</w:t>
            </w: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a(a)(43)-EPSDT</w:t>
            </w:r>
          </w:p>
        </w:tc>
        <w:tc>
          <w:tcPr>
            <w:tcW w:w="2970" w:type="dxa"/>
          </w:tcPr>
          <w:p w:rsidR="001948A1" w:rsidRPr="007E4F3A" w:rsidRDefault="001948A1" w:rsidP="00C115FD">
            <w:pPr>
              <w:rPr>
                <w:rFonts w:cstheme="minorHAnsi"/>
                <w:sz w:val="24"/>
                <w:szCs w:val="24"/>
              </w:rPr>
            </w:pPr>
            <w:r w:rsidRPr="007E4F3A">
              <w:rPr>
                <w:rFonts w:cstheme="minorHAnsi"/>
                <w:sz w:val="24"/>
                <w:szCs w:val="24"/>
              </w:rPr>
              <w:t>5th (2004), 6th (2010, 2006),</w:t>
            </w:r>
            <w:r w:rsidRPr="007E4F3A">
              <w:rPr>
                <w:rStyle w:val="FootnoteReference"/>
                <w:rFonts w:cstheme="minorHAnsi"/>
                <w:sz w:val="24"/>
                <w:szCs w:val="24"/>
              </w:rPr>
              <w:footnoteReference w:id="31"/>
            </w:r>
            <w:r w:rsidRPr="007E4F3A">
              <w:rPr>
                <w:rFonts w:cstheme="minorHAnsi"/>
                <w:sz w:val="24"/>
                <w:szCs w:val="24"/>
              </w:rPr>
              <w:t xml:space="preserve"> 8th (2002)</w:t>
            </w:r>
          </w:p>
        </w:tc>
        <w:tc>
          <w:tcPr>
            <w:tcW w:w="2610" w:type="dxa"/>
          </w:tcPr>
          <w:p w:rsidR="001948A1" w:rsidRPr="007E4F3A" w:rsidRDefault="001948A1" w:rsidP="00C115FD">
            <w:pPr>
              <w:rPr>
                <w:rFonts w:cstheme="minorHAnsi"/>
                <w:sz w:val="24"/>
                <w:szCs w:val="24"/>
              </w:rPr>
            </w:pP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a(bb)-FQHC payment</w:t>
            </w:r>
          </w:p>
        </w:tc>
        <w:tc>
          <w:tcPr>
            <w:tcW w:w="2970" w:type="dxa"/>
          </w:tcPr>
          <w:p w:rsidR="001948A1" w:rsidRPr="007E4F3A" w:rsidRDefault="001948A1" w:rsidP="00C115FD">
            <w:pPr>
              <w:rPr>
                <w:rFonts w:cstheme="minorHAnsi"/>
                <w:sz w:val="24"/>
                <w:szCs w:val="24"/>
              </w:rPr>
            </w:pPr>
            <w:r w:rsidRPr="007E4F3A">
              <w:rPr>
                <w:rFonts w:cstheme="minorHAnsi"/>
                <w:sz w:val="24"/>
                <w:szCs w:val="24"/>
              </w:rPr>
              <w:t>1st (2008, 2005), 3d (2013), 4th (2007), 9th (2013)</w:t>
            </w:r>
          </w:p>
        </w:tc>
        <w:tc>
          <w:tcPr>
            <w:tcW w:w="2610" w:type="dxa"/>
          </w:tcPr>
          <w:p w:rsidR="001948A1" w:rsidRPr="007E4F3A" w:rsidRDefault="001948A1" w:rsidP="00C115FD">
            <w:pPr>
              <w:rPr>
                <w:rFonts w:cstheme="minorHAnsi"/>
                <w:sz w:val="24"/>
                <w:szCs w:val="24"/>
              </w:rPr>
            </w:pP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b(m)-managed care</w:t>
            </w:r>
          </w:p>
        </w:tc>
        <w:tc>
          <w:tcPr>
            <w:tcW w:w="2970" w:type="dxa"/>
          </w:tcPr>
          <w:p w:rsidR="001948A1" w:rsidRPr="007E4F3A" w:rsidRDefault="001948A1" w:rsidP="00C115FD">
            <w:pPr>
              <w:rPr>
                <w:rFonts w:cstheme="minorHAnsi"/>
                <w:sz w:val="24"/>
                <w:szCs w:val="24"/>
              </w:rPr>
            </w:pPr>
          </w:p>
        </w:tc>
        <w:tc>
          <w:tcPr>
            <w:tcW w:w="2610" w:type="dxa"/>
          </w:tcPr>
          <w:p w:rsidR="001948A1" w:rsidRPr="007E4F3A" w:rsidRDefault="001948A1" w:rsidP="00C115FD">
            <w:pPr>
              <w:rPr>
                <w:rFonts w:cstheme="minorHAnsi"/>
                <w:sz w:val="24"/>
                <w:szCs w:val="24"/>
              </w:rPr>
            </w:pPr>
            <w:r w:rsidRPr="007E4F3A">
              <w:rPr>
                <w:rFonts w:cstheme="minorHAnsi"/>
                <w:sz w:val="24"/>
                <w:szCs w:val="24"/>
              </w:rPr>
              <w:t>9th (2009)</w:t>
            </w: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d(a)-services</w:t>
            </w:r>
          </w:p>
        </w:tc>
        <w:tc>
          <w:tcPr>
            <w:tcW w:w="2970" w:type="dxa"/>
          </w:tcPr>
          <w:p w:rsidR="001948A1" w:rsidRPr="007E4F3A" w:rsidRDefault="001948A1" w:rsidP="00C115FD">
            <w:pPr>
              <w:rPr>
                <w:rFonts w:cstheme="minorHAnsi"/>
                <w:sz w:val="24"/>
                <w:szCs w:val="24"/>
              </w:rPr>
            </w:pPr>
            <w:r w:rsidRPr="007E4F3A">
              <w:rPr>
                <w:rFonts w:cstheme="minorHAnsi"/>
                <w:sz w:val="24"/>
                <w:szCs w:val="24"/>
              </w:rPr>
              <w:t>3d (2004), 6th (2006), 8th (2006)</w:t>
            </w:r>
          </w:p>
        </w:tc>
        <w:tc>
          <w:tcPr>
            <w:tcW w:w="2610" w:type="dxa"/>
          </w:tcPr>
          <w:p w:rsidR="001948A1" w:rsidRPr="007E4F3A" w:rsidRDefault="001948A1" w:rsidP="00C115FD">
            <w:pPr>
              <w:rPr>
                <w:rFonts w:cstheme="minorHAnsi"/>
                <w:sz w:val="24"/>
                <w:szCs w:val="24"/>
              </w:rPr>
            </w:pP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n(c)(2)(C) &amp; (d)(2)(D)-home &amp; community waiver informing</w:t>
            </w:r>
          </w:p>
        </w:tc>
        <w:tc>
          <w:tcPr>
            <w:tcW w:w="2970" w:type="dxa"/>
          </w:tcPr>
          <w:p w:rsidR="001948A1" w:rsidRPr="007E4F3A" w:rsidRDefault="001948A1" w:rsidP="00C115FD">
            <w:pPr>
              <w:rPr>
                <w:rFonts w:cstheme="minorHAnsi"/>
                <w:sz w:val="24"/>
                <w:szCs w:val="24"/>
              </w:rPr>
            </w:pPr>
            <w:r w:rsidRPr="007E4F3A">
              <w:rPr>
                <w:rFonts w:cstheme="minorHAnsi"/>
                <w:sz w:val="24"/>
                <w:szCs w:val="24"/>
              </w:rPr>
              <w:t>9th (2007)</w:t>
            </w:r>
          </w:p>
        </w:tc>
        <w:tc>
          <w:tcPr>
            <w:tcW w:w="2610" w:type="dxa"/>
          </w:tcPr>
          <w:p w:rsidR="001948A1" w:rsidRPr="007E4F3A" w:rsidRDefault="001948A1" w:rsidP="00C115FD">
            <w:pPr>
              <w:rPr>
                <w:rFonts w:cstheme="minorHAnsi"/>
                <w:sz w:val="24"/>
                <w:szCs w:val="24"/>
              </w:rPr>
            </w:pP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o-cost sharing</w:t>
            </w:r>
          </w:p>
        </w:tc>
        <w:tc>
          <w:tcPr>
            <w:tcW w:w="2970" w:type="dxa"/>
          </w:tcPr>
          <w:p w:rsidR="001948A1" w:rsidRPr="007E4F3A" w:rsidRDefault="001948A1" w:rsidP="00C115FD">
            <w:pPr>
              <w:rPr>
                <w:rFonts w:cstheme="minorHAnsi"/>
                <w:sz w:val="24"/>
                <w:szCs w:val="24"/>
              </w:rPr>
            </w:pPr>
            <w:r w:rsidRPr="007E4F3A">
              <w:rPr>
                <w:rFonts w:cstheme="minorHAnsi"/>
                <w:sz w:val="24"/>
                <w:szCs w:val="24"/>
              </w:rPr>
              <w:t>9th (2007)</w:t>
            </w:r>
          </w:p>
        </w:tc>
        <w:tc>
          <w:tcPr>
            <w:tcW w:w="2610" w:type="dxa"/>
          </w:tcPr>
          <w:p w:rsidR="001948A1" w:rsidRPr="007E4F3A" w:rsidRDefault="001948A1" w:rsidP="00C115FD">
            <w:pPr>
              <w:rPr>
                <w:rFonts w:cstheme="minorHAnsi"/>
                <w:sz w:val="24"/>
                <w:szCs w:val="24"/>
              </w:rPr>
            </w:pP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p(d)(4)(A)-trust remainders</w:t>
            </w:r>
          </w:p>
        </w:tc>
        <w:tc>
          <w:tcPr>
            <w:tcW w:w="2970" w:type="dxa"/>
          </w:tcPr>
          <w:p w:rsidR="001948A1" w:rsidRPr="007E4F3A" w:rsidRDefault="001948A1" w:rsidP="00C115FD">
            <w:pPr>
              <w:rPr>
                <w:rFonts w:cstheme="minorHAnsi"/>
                <w:sz w:val="24"/>
                <w:szCs w:val="24"/>
              </w:rPr>
            </w:pPr>
          </w:p>
        </w:tc>
        <w:tc>
          <w:tcPr>
            <w:tcW w:w="2610" w:type="dxa"/>
          </w:tcPr>
          <w:p w:rsidR="001948A1" w:rsidRPr="007E4F3A" w:rsidRDefault="001948A1" w:rsidP="00C115FD">
            <w:pPr>
              <w:rPr>
                <w:rFonts w:cstheme="minorHAnsi"/>
                <w:sz w:val="24"/>
                <w:szCs w:val="24"/>
              </w:rPr>
            </w:pPr>
            <w:r w:rsidRPr="007E4F3A">
              <w:rPr>
                <w:rFonts w:cstheme="minorHAnsi"/>
                <w:sz w:val="24"/>
                <w:szCs w:val="24"/>
              </w:rPr>
              <w:t>10th (2009)</w:t>
            </w: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p(d)(4)(C)–special needs trusts exclusion</w:t>
            </w:r>
          </w:p>
        </w:tc>
        <w:tc>
          <w:tcPr>
            <w:tcW w:w="2970" w:type="dxa"/>
          </w:tcPr>
          <w:p w:rsidR="001948A1" w:rsidRPr="007E4F3A" w:rsidRDefault="001948A1" w:rsidP="00C115FD">
            <w:pPr>
              <w:rPr>
                <w:rFonts w:cstheme="minorHAnsi"/>
                <w:sz w:val="24"/>
                <w:szCs w:val="24"/>
              </w:rPr>
            </w:pPr>
            <w:r w:rsidRPr="007E4F3A">
              <w:rPr>
                <w:rFonts w:cstheme="minorHAnsi"/>
                <w:sz w:val="24"/>
                <w:szCs w:val="24"/>
              </w:rPr>
              <w:t>3d (2012), 8th (2012)</w:t>
            </w:r>
          </w:p>
        </w:tc>
        <w:tc>
          <w:tcPr>
            <w:tcW w:w="2610" w:type="dxa"/>
          </w:tcPr>
          <w:p w:rsidR="001948A1" w:rsidRPr="007E4F3A" w:rsidRDefault="001948A1" w:rsidP="00C115FD">
            <w:pPr>
              <w:rPr>
                <w:rFonts w:cstheme="minorHAnsi"/>
                <w:sz w:val="24"/>
                <w:szCs w:val="24"/>
              </w:rPr>
            </w:pP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r(b), (e)-nursing home reform</w:t>
            </w:r>
          </w:p>
        </w:tc>
        <w:tc>
          <w:tcPr>
            <w:tcW w:w="2970" w:type="dxa"/>
          </w:tcPr>
          <w:p w:rsidR="001948A1" w:rsidRPr="007E4F3A" w:rsidRDefault="001948A1" w:rsidP="00C115FD">
            <w:pPr>
              <w:rPr>
                <w:rFonts w:cstheme="minorHAnsi"/>
                <w:sz w:val="24"/>
                <w:szCs w:val="24"/>
              </w:rPr>
            </w:pPr>
            <w:r w:rsidRPr="007E4F3A">
              <w:rPr>
                <w:rFonts w:cstheme="minorHAnsi"/>
                <w:sz w:val="24"/>
                <w:szCs w:val="24"/>
              </w:rPr>
              <w:t>1st (2003), 3d (2009)</w:t>
            </w:r>
          </w:p>
        </w:tc>
        <w:tc>
          <w:tcPr>
            <w:tcW w:w="2610" w:type="dxa"/>
          </w:tcPr>
          <w:p w:rsidR="001948A1" w:rsidRPr="007E4F3A" w:rsidRDefault="001948A1" w:rsidP="00C115FD">
            <w:pPr>
              <w:rPr>
                <w:rFonts w:cstheme="minorHAnsi"/>
                <w:sz w:val="24"/>
                <w:szCs w:val="24"/>
              </w:rPr>
            </w:pPr>
          </w:p>
        </w:tc>
      </w:tr>
      <w:tr w:rsidR="001948A1" w:rsidRPr="007E4F3A" w:rsidTr="00C115FD">
        <w:tc>
          <w:tcPr>
            <w:tcW w:w="3348" w:type="dxa"/>
          </w:tcPr>
          <w:p w:rsidR="001948A1" w:rsidRPr="007E4F3A" w:rsidRDefault="001948A1" w:rsidP="00C115FD">
            <w:pPr>
              <w:rPr>
                <w:rFonts w:cstheme="minorHAnsi"/>
                <w:sz w:val="24"/>
                <w:szCs w:val="24"/>
              </w:rPr>
            </w:pPr>
            <w:r w:rsidRPr="007E4F3A">
              <w:rPr>
                <w:rFonts w:cstheme="minorHAnsi"/>
                <w:sz w:val="24"/>
                <w:szCs w:val="24"/>
              </w:rPr>
              <w:t>r-6-transitional Medicaid</w:t>
            </w:r>
          </w:p>
        </w:tc>
        <w:tc>
          <w:tcPr>
            <w:tcW w:w="2970" w:type="dxa"/>
          </w:tcPr>
          <w:p w:rsidR="001948A1" w:rsidRPr="007E4F3A" w:rsidRDefault="001948A1" w:rsidP="00C115FD">
            <w:pPr>
              <w:rPr>
                <w:rFonts w:cstheme="minorHAnsi"/>
                <w:sz w:val="24"/>
                <w:szCs w:val="24"/>
              </w:rPr>
            </w:pPr>
            <w:r w:rsidRPr="007E4F3A">
              <w:rPr>
                <w:rFonts w:cstheme="minorHAnsi"/>
                <w:sz w:val="24"/>
                <w:szCs w:val="24"/>
              </w:rPr>
              <w:t>2d (2004)</w:t>
            </w:r>
          </w:p>
        </w:tc>
        <w:tc>
          <w:tcPr>
            <w:tcW w:w="2610" w:type="dxa"/>
          </w:tcPr>
          <w:p w:rsidR="001948A1" w:rsidRPr="007E4F3A" w:rsidRDefault="001948A1" w:rsidP="00C115FD">
            <w:pPr>
              <w:rPr>
                <w:rFonts w:cstheme="minorHAnsi"/>
                <w:sz w:val="24"/>
                <w:szCs w:val="24"/>
              </w:rPr>
            </w:pPr>
          </w:p>
        </w:tc>
      </w:tr>
    </w:tbl>
    <w:p w:rsidR="007E4F3A" w:rsidRPr="007E4F3A" w:rsidRDefault="007E4F3A" w:rsidP="007E4F3A">
      <w:pPr>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As discussed above, individual federal statutory provisions are the focus of the</w:t>
      </w:r>
      <w:r>
        <w:rPr>
          <w:rFonts w:cstheme="minorHAnsi"/>
          <w:sz w:val="24"/>
          <w:szCs w:val="24"/>
        </w:rPr>
        <w:t xml:space="preserve"> </w:t>
      </w:r>
      <w:r w:rsidRPr="007E4F3A">
        <w:rPr>
          <w:rFonts w:cstheme="minorHAnsi"/>
          <w:sz w:val="24"/>
          <w:szCs w:val="24"/>
        </w:rPr>
        <w:t>§ 1983 inquiry. Circuit courts are consistently finding that federal regulations may not independently create privately enforceable rights under § 1983.</w:t>
      </w:r>
      <w:r w:rsidRPr="007E4F3A">
        <w:rPr>
          <w:rStyle w:val="FootnoteReference"/>
          <w:rFonts w:cstheme="minorHAnsi"/>
          <w:sz w:val="24"/>
          <w:szCs w:val="24"/>
        </w:rPr>
        <w:footnoteReference w:id="32"/>
      </w:r>
      <w:r w:rsidRPr="007E4F3A">
        <w:rPr>
          <w:rFonts w:cstheme="minorHAnsi"/>
          <w:sz w:val="24"/>
          <w:szCs w:val="24"/>
        </w:rPr>
        <w:t xml:space="preserve"> However, a regulation </w:t>
      </w:r>
      <w:r w:rsidRPr="007E4F3A">
        <w:rPr>
          <w:rFonts w:cstheme="minorHAnsi"/>
          <w:sz w:val="24"/>
          <w:szCs w:val="24"/>
        </w:rPr>
        <w:lastRenderedPageBreak/>
        <w:t>can “define or flesh out” the content of a federal statute that is itself privately enforceable.</w:t>
      </w:r>
      <w:r w:rsidRPr="007E4F3A">
        <w:rPr>
          <w:rStyle w:val="FootnoteReference"/>
          <w:rFonts w:cstheme="minorHAnsi"/>
          <w:sz w:val="24"/>
          <w:szCs w:val="24"/>
        </w:rPr>
        <w:footnoteReference w:id="33"/>
      </w:r>
      <w:r w:rsidRPr="007E4F3A">
        <w:rPr>
          <w:rFonts w:cstheme="minorHAnsi"/>
          <w:sz w:val="24"/>
          <w:szCs w:val="24"/>
        </w:rPr>
        <w:t xml:space="preserve"> Thus, in </w:t>
      </w:r>
      <w:proofErr w:type="spellStart"/>
      <w:r w:rsidRPr="007E4F3A">
        <w:rPr>
          <w:rFonts w:cstheme="minorHAnsi"/>
          <w:i/>
          <w:sz w:val="24"/>
          <w:szCs w:val="24"/>
        </w:rPr>
        <w:t>Shakhnes</w:t>
      </w:r>
      <w:proofErr w:type="spellEnd"/>
      <w:r w:rsidRPr="007E4F3A">
        <w:rPr>
          <w:rFonts w:cstheme="minorHAnsi"/>
          <w:i/>
          <w:sz w:val="24"/>
          <w:szCs w:val="24"/>
        </w:rPr>
        <w:t xml:space="preserve"> v</w:t>
      </w:r>
      <w:r w:rsidRPr="007E4F3A">
        <w:rPr>
          <w:rFonts w:cstheme="minorHAnsi"/>
          <w:sz w:val="24"/>
          <w:szCs w:val="24"/>
        </w:rPr>
        <w:t xml:space="preserve">. </w:t>
      </w:r>
      <w:r w:rsidRPr="007E4F3A">
        <w:rPr>
          <w:rFonts w:cstheme="minorHAnsi"/>
          <w:i/>
          <w:sz w:val="24"/>
          <w:szCs w:val="24"/>
        </w:rPr>
        <w:t>Berlin</w:t>
      </w:r>
      <w:r w:rsidRPr="007E4F3A">
        <w:rPr>
          <w:rFonts w:cstheme="minorHAnsi"/>
          <w:sz w:val="24"/>
          <w:szCs w:val="24"/>
        </w:rPr>
        <w:t>, the Second Circuit recently held the Medicaid fair hearing statute, 42 U.S.C. § 1396a(a)(3), as construed by the timeframe regulation, 42 C.F.R. § 431.244(f), creates a right, enforceable under § 1983, to receive a fair hearing and a fair hearing decision “[o]</w:t>
      </w:r>
      <w:proofErr w:type="spellStart"/>
      <w:r w:rsidRPr="007E4F3A">
        <w:rPr>
          <w:rFonts w:cstheme="minorHAnsi"/>
          <w:sz w:val="24"/>
          <w:szCs w:val="24"/>
        </w:rPr>
        <w:t>rdinarily</w:t>
      </w:r>
      <w:proofErr w:type="spellEnd"/>
      <w:r w:rsidRPr="007E4F3A">
        <w:rPr>
          <w:rFonts w:cstheme="minorHAnsi"/>
          <w:sz w:val="24"/>
          <w:szCs w:val="24"/>
        </w:rPr>
        <w:t xml:space="preserve">, within 90 days” of a fair hearing request. By contrast, two federal circuit courts have refused to allow plaintiffs to enforce Medicaid regulations that establish the protocols for states to submit their state Medicaid plans and state plan amendments. </w:t>
      </w:r>
      <w:proofErr w:type="gramStart"/>
      <w:r w:rsidRPr="007E4F3A">
        <w:rPr>
          <w:rFonts w:cstheme="minorHAnsi"/>
          <w:i/>
          <w:sz w:val="24"/>
          <w:szCs w:val="24"/>
        </w:rPr>
        <w:t xml:space="preserve">See New Jersey Primary Care </w:t>
      </w:r>
      <w:proofErr w:type="spellStart"/>
      <w:r w:rsidRPr="007E4F3A">
        <w:rPr>
          <w:rFonts w:cstheme="minorHAnsi"/>
          <w:i/>
          <w:sz w:val="24"/>
          <w:szCs w:val="24"/>
        </w:rPr>
        <w:t>Ass’n</w:t>
      </w:r>
      <w:proofErr w:type="spellEnd"/>
      <w:r w:rsidRPr="007E4F3A">
        <w:rPr>
          <w:rFonts w:cstheme="minorHAnsi"/>
          <w:i/>
          <w:sz w:val="24"/>
          <w:szCs w:val="24"/>
        </w:rPr>
        <w:t xml:space="preserve"> v.</w:t>
      </w:r>
      <w:proofErr w:type="gramEnd"/>
      <w:r w:rsidRPr="007E4F3A">
        <w:rPr>
          <w:rFonts w:cstheme="minorHAnsi"/>
          <w:i/>
          <w:sz w:val="24"/>
          <w:szCs w:val="24"/>
        </w:rPr>
        <w:t xml:space="preserve"> New Jersey Dep’t of Health </w:t>
      </w:r>
      <w:proofErr w:type="spellStart"/>
      <w:r w:rsidRPr="007E4F3A">
        <w:rPr>
          <w:rFonts w:cstheme="minorHAnsi"/>
          <w:i/>
          <w:sz w:val="24"/>
          <w:szCs w:val="24"/>
        </w:rPr>
        <w:t>Servs</w:t>
      </w:r>
      <w:proofErr w:type="spellEnd"/>
      <w:r w:rsidRPr="007E4F3A">
        <w:rPr>
          <w:rFonts w:cstheme="minorHAnsi"/>
          <w:i/>
          <w:sz w:val="24"/>
          <w:szCs w:val="24"/>
        </w:rPr>
        <w:t>.</w:t>
      </w:r>
      <w:r w:rsidRPr="007E4F3A">
        <w:rPr>
          <w:rFonts w:cstheme="minorHAnsi"/>
          <w:sz w:val="24"/>
          <w:szCs w:val="24"/>
        </w:rPr>
        <w:t xml:space="preserve">, 722 F.3d 527 (3d Cir. 2013) (regarding 42 C.F.R. § 430.12(c)); </w:t>
      </w:r>
      <w:r w:rsidRPr="007E4F3A">
        <w:rPr>
          <w:rFonts w:cstheme="minorHAnsi"/>
          <w:i/>
          <w:sz w:val="24"/>
          <w:szCs w:val="24"/>
        </w:rPr>
        <w:t xml:space="preserve">Developmental </w:t>
      </w:r>
      <w:proofErr w:type="spellStart"/>
      <w:r w:rsidRPr="007E4F3A">
        <w:rPr>
          <w:rFonts w:cstheme="minorHAnsi"/>
          <w:i/>
          <w:sz w:val="24"/>
          <w:szCs w:val="24"/>
        </w:rPr>
        <w:t>Servs</w:t>
      </w:r>
      <w:proofErr w:type="spellEnd"/>
      <w:r w:rsidRPr="007E4F3A">
        <w:rPr>
          <w:rFonts w:cstheme="minorHAnsi"/>
          <w:i/>
          <w:sz w:val="24"/>
          <w:szCs w:val="24"/>
        </w:rPr>
        <w:t>. Network v. Douglas</w:t>
      </w:r>
      <w:r w:rsidRPr="007E4F3A">
        <w:rPr>
          <w:rFonts w:cstheme="minorHAnsi"/>
          <w:sz w:val="24"/>
          <w:szCs w:val="24"/>
        </w:rPr>
        <w:t xml:space="preserve">, 666 F.3d 540 (9th Cir. 2011) (same); </w:t>
      </w:r>
      <w:r w:rsidRPr="007E4F3A">
        <w:rPr>
          <w:rFonts w:cstheme="minorHAnsi"/>
          <w:i/>
          <w:sz w:val="24"/>
          <w:szCs w:val="24"/>
        </w:rPr>
        <w:t xml:space="preserve">see generally John B. v. </w:t>
      </w:r>
      <w:proofErr w:type="spellStart"/>
      <w:r w:rsidRPr="007E4F3A">
        <w:rPr>
          <w:rFonts w:cstheme="minorHAnsi"/>
          <w:i/>
          <w:sz w:val="24"/>
          <w:szCs w:val="24"/>
        </w:rPr>
        <w:t>Emkes</w:t>
      </w:r>
      <w:proofErr w:type="spellEnd"/>
      <w:r w:rsidRPr="007E4F3A">
        <w:rPr>
          <w:rFonts w:cstheme="minorHAnsi"/>
          <w:sz w:val="24"/>
          <w:szCs w:val="24"/>
        </w:rPr>
        <w:t>, 710 F.3d 394 (6th Cir. 2013) (refusing to allow plaintiffs to enforce EPSDT regulation, 42 C.F.R. § 441.61(c), requiring state agency to work with other entities and agencies to achieve EPSDT).</w:t>
      </w:r>
    </w:p>
    <w:p w:rsidR="001948A1" w:rsidRPr="007E4F3A" w:rsidRDefault="001948A1"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sz w:val="24"/>
          <w:szCs w:val="24"/>
        </w:rPr>
      </w:pPr>
      <w:r w:rsidRPr="007E4F3A">
        <w:rPr>
          <w:rFonts w:cstheme="minorHAnsi"/>
          <w:sz w:val="24"/>
          <w:szCs w:val="24"/>
        </w:rPr>
        <w:t xml:space="preserve">Finally, since </w:t>
      </w:r>
      <w:r w:rsidRPr="007E4F3A">
        <w:rPr>
          <w:rFonts w:cstheme="minorHAnsi"/>
          <w:i/>
          <w:sz w:val="24"/>
          <w:szCs w:val="24"/>
        </w:rPr>
        <w:t xml:space="preserve">Gonzaga </w:t>
      </w:r>
      <w:r w:rsidRPr="007E4F3A">
        <w:rPr>
          <w:rFonts w:cstheme="minorHAnsi"/>
          <w:sz w:val="24"/>
          <w:szCs w:val="24"/>
        </w:rPr>
        <w:t xml:space="preserve">was decided the Supreme Court has not accepted review of a Medicaid case applying the </w:t>
      </w:r>
      <w:r w:rsidRPr="007E4F3A">
        <w:rPr>
          <w:rFonts w:cstheme="minorHAnsi"/>
          <w:i/>
          <w:sz w:val="24"/>
          <w:szCs w:val="24"/>
        </w:rPr>
        <w:t xml:space="preserve">Gonzaga/Blessing </w:t>
      </w:r>
      <w:r w:rsidRPr="007E4F3A">
        <w:rPr>
          <w:rFonts w:cstheme="minorHAnsi"/>
          <w:sz w:val="24"/>
          <w:szCs w:val="24"/>
        </w:rPr>
        <w:t>enforcement test.  During the 2012-2013 Term, for example, the Court denied certiorari in four cases where state attorneys were seeking to overturn an appellate decision allowing private enforcement of a Medicaid Act provision pursuant to § 1983.</w:t>
      </w:r>
      <w:r w:rsidRPr="007E4F3A">
        <w:rPr>
          <w:rStyle w:val="FootnoteReference"/>
          <w:rFonts w:cstheme="minorHAnsi"/>
          <w:sz w:val="24"/>
          <w:szCs w:val="24"/>
        </w:rPr>
        <w:footnoteReference w:id="34"/>
      </w:r>
      <w:r w:rsidRPr="007E4F3A">
        <w:rPr>
          <w:rFonts w:cstheme="minorHAnsi"/>
          <w:sz w:val="24"/>
          <w:szCs w:val="24"/>
        </w:rPr>
        <w:t xml:space="preserve">   </w:t>
      </w:r>
    </w:p>
    <w:p w:rsidR="001948A1" w:rsidRPr="007E4F3A" w:rsidRDefault="001948A1" w:rsidP="001948A1">
      <w:pPr>
        <w:spacing w:after="0" w:line="240" w:lineRule="auto"/>
        <w:ind w:firstLine="720"/>
        <w:rPr>
          <w:rFonts w:cstheme="minorHAnsi"/>
          <w:sz w:val="24"/>
          <w:szCs w:val="24"/>
        </w:rPr>
      </w:pPr>
    </w:p>
    <w:p w:rsidR="007E4F3A" w:rsidRDefault="007E4F3A" w:rsidP="001948A1">
      <w:pPr>
        <w:spacing w:after="0" w:line="240" w:lineRule="auto"/>
        <w:ind w:firstLine="720"/>
        <w:rPr>
          <w:rFonts w:cstheme="minorHAnsi"/>
          <w:b/>
          <w:sz w:val="24"/>
          <w:szCs w:val="24"/>
        </w:rPr>
      </w:pPr>
      <w:r w:rsidRPr="007E4F3A">
        <w:rPr>
          <w:rFonts w:cstheme="minorHAnsi"/>
          <w:b/>
          <w:sz w:val="24"/>
          <w:szCs w:val="24"/>
        </w:rPr>
        <w:t>Recommendations, trends, and conclusions</w:t>
      </w:r>
    </w:p>
    <w:p w:rsidR="001948A1" w:rsidRPr="007E4F3A" w:rsidRDefault="001948A1" w:rsidP="001948A1">
      <w:pPr>
        <w:spacing w:after="0" w:line="240" w:lineRule="auto"/>
        <w:ind w:firstLine="720"/>
        <w:rPr>
          <w:rFonts w:cstheme="minorHAnsi"/>
          <w:sz w:val="24"/>
          <w:szCs w:val="24"/>
        </w:rPr>
      </w:pPr>
    </w:p>
    <w:p w:rsidR="007E4F3A" w:rsidRDefault="007E4F3A" w:rsidP="001948A1">
      <w:pPr>
        <w:spacing w:after="0" w:line="240" w:lineRule="auto"/>
        <w:rPr>
          <w:rFonts w:cstheme="minorHAnsi"/>
          <w:sz w:val="24"/>
          <w:szCs w:val="24"/>
        </w:rPr>
      </w:pPr>
      <w:r w:rsidRPr="007E4F3A">
        <w:rPr>
          <w:rFonts w:cstheme="minorHAnsi"/>
          <w:sz w:val="24"/>
          <w:szCs w:val="24"/>
        </w:rPr>
        <w:tab/>
      </w:r>
      <w:r w:rsidRPr="007E4F3A">
        <w:rPr>
          <w:rFonts w:cstheme="minorHAnsi"/>
          <w:sz w:val="24"/>
          <w:szCs w:val="24"/>
          <w:u w:val="single"/>
        </w:rPr>
        <w:t>Consider § 1983 enforcement carefully</w:t>
      </w:r>
      <w:r w:rsidRPr="007E4F3A">
        <w:rPr>
          <w:rFonts w:cstheme="minorHAnsi"/>
          <w:sz w:val="24"/>
          <w:szCs w:val="24"/>
        </w:rPr>
        <w:t>.  Do not seek to enforce Medicaid provisions that have a poor track record, and do not ask a judge to apply a provision to facts in novel ways, unsupported by the direct words of the statute and discussion in the case law. Remember that adverse decisions will affect not just the named plaintiffs but all Medicaid beneficiaries in the federal district or appellate jurisdiction and will be applied to other Medicaid provisions in future cases. Make sure to consult and address Medicaid enforcement decisions outside your jurisdiction and both Medicaid and non-Medicaid cases that establish § 1983 enforcement precedent in your jurisdiction.</w:t>
      </w:r>
    </w:p>
    <w:p w:rsidR="001948A1" w:rsidRPr="007E4F3A" w:rsidRDefault="001948A1" w:rsidP="001948A1">
      <w:pPr>
        <w:spacing w:after="0" w:line="240" w:lineRule="auto"/>
        <w:rPr>
          <w:rFonts w:cstheme="minorHAnsi"/>
          <w:sz w:val="24"/>
          <w:szCs w:val="24"/>
        </w:rPr>
      </w:pPr>
    </w:p>
    <w:p w:rsidR="007E4F3A" w:rsidRDefault="007E4F3A" w:rsidP="001948A1">
      <w:pPr>
        <w:spacing w:after="0" w:line="240" w:lineRule="auto"/>
        <w:rPr>
          <w:rFonts w:cstheme="minorHAnsi"/>
          <w:sz w:val="24"/>
          <w:szCs w:val="24"/>
        </w:rPr>
      </w:pPr>
      <w:r w:rsidRPr="007E4F3A">
        <w:rPr>
          <w:rFonts w:cstheme="minorHAnsi"/>
          <w:sz w:val="24"/>
          <w:szCs w:val="24"/>
        </w:rPr>
        <w:tab/>
      </w:r>
      <w:r w:rsidRPr="007E4F3A">
        <w:rPr>
          <w:rFonts w:cstheme="minorHAnsi"/>
          <w:sz w:val="24"/>
          <w:szCs w:val="24"/>
          <w:u w:val="single"/>
        </w:rPr>
        <w:t>The following trends should be carefully monitored and considered</w:t>
      </w:r>
      <w:r w:rsidRPr="007E4F3A">
        <w:rPr>
          <w:rFonts w:cstheme="minorHAnsi"/>
          <w:sz w:val="24"/>
          <w:szCs w:val="24"/>
        </w:rPr>
        <w:t>:</w:t>
      </w:r>
    </w:p>
    <w:p w:rsidR="001948A1" w:rsidRPr="007E4F3A" w:rsidRDefault="001948A1" w:rsidP="001948A1">
      <w:pPr>
        <w:spacing w:after="0" w:line="240" w:lineRule="auto"/>
        <w:rPr>
          <w:rFonts w:cstheme="minorHAnsi"/>
          <w:sz w:val="24"/>
          <w:szCs w:val="24"/>
        </w:rPr>
      </w:pPr>
    </w:p>
    <w:p w:rsidR="007E4F3A" w:rsidRPr="007E4F3A" w:rsidRDefault="007E4F3A" w:rsidP="001948A1">
      <w:pPr>
        <w:widowControl w:val="0"/>
        <w:numPr>
          <w:ilvl w:val="0"/>
          <w:numId w:val="11"/>
        </w:numPr>
        <w:autoSpaceDE w:val="0"/>
        <w:autoSpaceDN w:val="0"/>
        <w:adjustRightInd w:val="0"/>
        <w:spacing w:after="0" w:line="240" w:lineRule="auto"/>
        <w:rPr>
          <w:rFonts w:cstheme="minorHAnsi"/>
          <w:sz w:val="24"/>
          <w:szCs w:val="24"/>
        </w:rPr>
      </w:pPr>
      <w:r w:rsidRPr="007E4F3A">
        <w:rPr>
          <w:rFonts w:cstheme="minorHAnsi"/>
          <w:sz w:val="24"/>
          <w:szCs w:val="24"/>
        </w:rPr>
        <w:t xml:space="preserve">Just because the Supreme Court has not yet granted certiorari to review a </w:t>
      </w:r>
    </w:p>
    <w:p w:rsidR="007E4F3A" w:rsidRDefault="007E4F3A" w:rsidP="001948A1">
      <w:pPr>
        <w:spacing w:after="0" w:line="240" w:lineRule="auto"/>
        <w:ind w:left="1080"/>
        <w:rPr>
          <w:rFonts w:cstheme="minorHAnsi"/>
          <w:sz w:val="24"/>
          <w:szCs w:val="24"/>
        </w:rPr>
      </w:pPr>
      <w:r w:rsidRPr="007E4F3A">
        <w:rPr>
          <w:rFonts w:cstheme="minorHAnsi"/>
          <w:sz w:val="24"/>
          <w:szCs w:val="24"/>
        </w:rPr>
        <w:t xml:space="preserve">§ 1983 Medicaid case does not mean it will not change its mind. Advocates should remain vigilant. As mentioned above, the Court is clearly interested in </w:t>
      </w:r>
      <w:r w:rsidRPr="007E4F3A">
        <w:rPr>
          <w:rFonts w:cstheme="minorHAnsi"/>
          <w:sz w:val="24"/>
          <w:szCs w:val="24"/>
        </w:rPr>
        <w:lastRenderedPageBreak/>
        <w:t xml:space="preserve">deciding the extent to which private individuals can rely on the Supremacy Clause to enjoin state laws that are inconsistent with federal law. If a Supremacy Clause case is accepted for review, the Court’s opinion could affect § 1983 enforcement, depending on whether the Court mentions § 1983 enforcement.   </w:t>
      </w:r>
    </w:p>
    <w:p w:rsidR="001948A1" w:rsidRPr="007E4F3A" w:rsidRDefault="001948A1" w:rsidP="001948A1">
      <w:pPr>
        <w:spacing w:after="0" w:line="240" w:lineRule="auto"/>
        <w:ind w:left="1080"/>
        <w:rPr>
          <w:rFonts w:cstheme="minorHAnsi"/>
          <w:sz w:val="24"/>
          <w:szCs w:val="24"/>
        </w:rPr>
      </w:pPr>
    </w:p>
    <w:p w:rsidR="007E4F3A" w:rsidRPr="007E4F3A" w:rsidRDefault="007E4F3A" w:rsidP="001948A1">
      <w:pPr>
        <w:widowControl w:val="0"/>
        <w:numPr>
          <w:ilvl w:val="0"/>
          <w:numId w:val="11"/>
        </w:numPr>
        <w:autoSpaceDE w:val="0"/>
        <w:autoSpaceDN w:val="0"/>
        <w:adjustRightInd w:val="0"/>
        <w:spacing w:after="0" w:line="240" w:lineRule="auto"/>
        <w:rPr>
          <w:rFonts w:cstheme="minorHAnsi"/>
          <w:sz w:val="24"/>
          <w:szCs w:val="24"/>
        </w:rPr>
      </w:pPr>
      <w:r w:rsidRPr="007E4F3A">
        <w:rPr>
          <w:rFonts w:cstheme="minorHAnsi"/>
          <w:sz w:val="24"/>
          <w:szCs w:val="24"/>
        </w:rPr>
        <w:t xml:space="preserve">While courts had long viewed § 1983 enforcement as within the broad remedial scope of the civil rights statutes, the Supreme Court has questioned this assumption. Accordingly, many lower court judges begin their review with the presumption that the Medicaid Act provision at issue is not enforceable. </w:t>
      </w:r>
    </w:p>
    <w:p w:rsidR="007E4F3A" w:rsidRDefault="007E4F3A" w:rsidP="001948A1">
      <w:pPr>
        <w:spacing w:after="0" w:line="240" w:lineRule="auto"/>
        <w:ind w:left="1080"/>
        <w:rPr>
          <w:rFonts w:cstheme="minorHAnsi"/>
          <w:sz w:val="24"/>
          <w:szCs w:val="24"/>
        </w:rPr>
      </w:pPr>
      <w:r w:rsidRPr="007E4F3A">
        <w:rPr>
          <w:rFonts w:cstheme="minorHAnsi"/>
          <w:sz w:val="24"/>
          <w:szCs w:val="24"/>
        </w:rPr>
        <w:t>It is critical, therefore, to establish the proper fr</w:t>
      </w:r>
      <w:r w:rsidR="001948A1">
        <w:rPr>
          <w:rFonts w:cstheme="minorHAnsi"/>
          <w:sz w:val="24"/>
          <w:szCs w:val="24"/>
        </w:rPr>
        <w:t>amework for the court’s review.</w:t>
      </w:r>
    </w:p>
    <w:p w:rsidR="001948A1" w:rsidRPr="007E4F3A" w:rsidRDefault="001948A1" w:rsidP="001948A1">
      <w:pPr>
        <w:spacing w:after="0" w:line="240" w:lineRule="auto"/>
        <w:ind w:left="1080"/>
        <w:rPr>
          <w:rFonts w:cstheme="minorHAnsi"/>
          <w:sz w:val="24"/>
          <w:szCs w:val="24"/>
        </w:rPr>
      </w:pPr>
    </w:p>
    <w:p w:rsidR="007E4F3A" w:rsidRPr="007E4F3A" w:rsidRDefault="007E4F3A" w:rsidP="001948A1">
      <w:pPr>
        <w:widowControl w:val="0"/>
        <w:numPr>
          <w:ilvl w:val="0"/>
          <w:numId w:val="11"/>
        </w:numPr>
        <w:autoSpaceDE w:val="0"/>
        <w:autoSpaceDN w:val="0"/>
        <w:adjustRightInd w:val="0"/>
        <w:spacing w:after="0" w:line="240" w:lineRule="auto"/>
        <w:rPr>
          <w:rFonts w:cstheme="minorHAnsi"/>
          <w:i/>
          <w:sz w:val="24"/>
          <w:szCs w:val="24"/>
        </w:rPr>
      </w:pPr>
      <w:r w:rsidRPr="007E4F3A">
        <w:rPr>
          <w:rFonts w:cstheme="minorHAnsi"/>
          <w:sz w:val="24"/>
          <w:szCs w:val="24"/>
        </w:rPr>
        <w:t xml:space="preserve">Consistent with </w:t>
      </w:r>
      <w:r w:rsidRPr="007E4F3A">
        <w:rPr>
          <w:rFonts w:cstheme="minorHAnsi"/>
          <w:i/>
          <w:sz w:val="24"/>
          <w:szCs w:val="24"/>
        </w:rPr>
        <w:t>Blessing</w:t>
      </w:r>
      <w:r w:rsidRPr="007E4F3A">
        <w:rPr>
          <w:rFonts w:cstheme="minorHAnsi"/>
          <w:sz w:val="24"/>
          <w:szCs w:val="24"/>
        </w:rPr>
        <w:t xml:space="preserve">, Medicaid enforcement questions should be decided on a provision-by-provision basis and, thus, complaints must be pled in “manageable analytic bites.” </w:t>
      </w:r>
      <w:r w:rsidRPr="007E4F3A">
        <w:rPr>
          <w:rFonts w:cstheme="minorHAnsi"/>
          <w:i/>
          <w:sz w:val="24"/>
          <w:szCs w:val="24"/>
        </w:rPr>
        <w:t>Blessing</w:t>
      </w:r>
      <w:r w:rsidRPr="007E4F3A">
        <w:rPr>
          <w:rFonts w:cstheme="minorHAnsi"/>
          <w:sz w:val="24"/>
          <w:szCs w:val="24"/>
        </w:rPr>
        <w:t xml:space="preserve">, 520 U.S. at 342. Given the difficulties that can arise, advocates should plead claims to the precise paragraph that is being enforced (for example, plead 42 U.S.C. § </w:t>
      </w:r>
      <w:proofErr w:type="gramStart"/>
      <w:r w:rsidRPr="007E4F3A">
        <w:rPr>
          <w:rFonts w:cstheme="minorHAnsi"/>
          <w:sz w:val="24"/>
          <w:szCs w:val="24"/>
        </w:rPr>
        <w:t>1396a(</w:t>
      </w:r>
      <w:proofErr w:type="gramEnd"/>
      <w:r w:rsidRPr="007E4F3A">
        <w:rPr>
          <w:rFonts w:cstheme="minorHAnsi"/>
          <w:sz w:val="24"/>
          <w:szCs w:val="24"/>
        </w:rPr>
        <w:t>a)(43)(A), not simply § 1396a(a)(43)).</w:t>
      </w:r>
    </w:p>
    <w:p w:rsidR="007E4F3A" w:rsidRPr="007E4F3A" w:rsidRDefault="007E4F3A" w:rsidP="001948A1">
      <w:pPr>
        <w:widowControl w:val="0"/>
        <w:autoSpaceDE w:val="0"/>
        <w:autoSpaceDN w:val="0"/>
        <w:adjustRightInd w:val="0"/>
        <w:spacing w:after="0" w:line="240" w:lineRule="auto"/>
        <w:ind w:left="1080"/>
        <w:rPr>
          <w:rFonts w:cstheme="minorHAnsi"/>
          <w:i/>
          <w:sz w:val="24"/>
          <w:szCs w:val="24"/>
        </w:rPr>
      </w:pPr>
    </w:p>
    <w:p w:rsidR="007E4F3A" w:rsidRDefault="007E4F3A" w:rsidP="001948A1">
      <w:pPr>
        <w:widowControl w:val="0"/>
        <w:numPr>
          <w:ilvl w:val="0"/>
          <w:numId w:val="11"/>
        </w:numPr>
        <w:autoSpaceDE w:val="0"/>
        <w:autoSpaceDN w:val="0"/>
        <w:adjustRightInd w:val="0"/>
        <w:spacing w:after="0" w:line="240" w:lineRule="auto"/>
        <w:rPr>
          <w:rFonts w:cstheme="minorHAnsi"/>
          <w:sz w:val="24"/>
          <w:szCs w:val="24"/>
        </w:rPr>
      </w:pPr>
      <w:r w:rsidRPr="007E4F3A">
        <w:rPr>
          <w:rFonts w:cstheme="minorHAnsi"/>
          <w:sz w:val="24"/>
          <w:szCs w:val="24"/>
        </w:rPr>
        <w:t>Privately enforceable Medicaid Act provisions typically speak in terms of the “individual,” frequently use words like “must” and “shall,” and specifically describe the state’s responsibilities to those individuals with specificity.</w:t>
      </w:r>
      <w:r w:rsidRPr="007E4F3A">
        <w:rPr>
          <w:rStyle w:val="FootnoteReference"/>
          <w:rFonts w:cstheme="minorHAnsi"/>
          <w:sz w:val="24"/>
          <w:szCs w:val="24"/>
        </w:rPr>
        <w:footnoteReference w:id="35"/>
      </w:r>
    </w:p>
    <w:p w:rsidR="001948A1" w:rsidRPr="007E4F3A" w:rsidRDefault="001948A1" w:rsidP="001948A1">
      <w:pPr>
        <w:widowControl w:val="0"/>
        <w:autoSpaceDE w:val="0"/>
        <w:autoSpaceDN w:val="0"/>
        <w:adjustRightInd w:val="0"/>
        <w:spacing w:after="0" w:line="240" w:lineRule="auto"/>
        <w:ind w:left="1080"/>
        <w:rPr>
          <w:rFonts w:cstheme="minorHAnsi"/>
          <w:sz w:val="24"/>
          <w:szCs w:val="24"/>
        </w:rPr>
      </w:pPr>
    </w:p>
    <w:p w:rsidR="001948A1" w:rsidRPr="00265093" w:rsidRDefault="007E4F3A" w:rsidP="001948A1">
      <w:pPr>
        <w:widowControl w:val="0"/>
        <w:numPr>
          <w:ilvl w:val="0"/>
          <w:numId w:val="11"/>
        </w:numPr>
        <w:autoSpaceDE w:val="0"/>
        <w:autoSpaceDN w:val="0"/>
        <w:adjustRightInd w:val="0"/>
        <w:spacing w:after="0" w:line="240" w:lineRule="auto"/>
      </w:pPr>
      <w:r w:rsidRPr="001948A1">
        <w:rPr>
          <w:rFonts w:cstheme="minorHAnsi"/>
          <w:i/>
          <w:sz w:val="24"/>
          <w:szCs w:val="24"/>
        </w:rPr>
        <w:t>Gonzaga</w:t>
      </w:r>
      <w:r w:rsidRPr="001948A1">
        <w:rPr>
          <w:rFonts w:cstheme="minorHAnsi"/>
          <w:sz w:val="24"/>
          <w:szCs w:val="24"/>
        </w:rPr>
        <w:t xml:space="preserve"> focuses on the intent to benefit the named plaintiff; however, courts continue to apply the three-prong test.</w:t>
      </w:r>
      <w:r w:rsidRPr="007E4F3A">
        <w:rPr>
          <w:rStyle w:val="FootnoteReference"/>
          <w:rFonts w:cstheme="minorHAnsi"/>
          <w:sz w:val="24"/>
          <w:szCs w:val="24"/>
        </w:rPr>
        <w:footnoteReference w:id="36"/>
      </w:r>
      <w:r w:rsidRPr="001948A1">
        <w:rPr>
          <w:rFonts w:cstheme="minorHAnsi"/>
          <w:sz w:val="24"/>
          <w:szCs w:val="24"/>
        </w:rPr>
        <w:t xml:space="preserve"> Thus, while some judges argue that </w:t>
      </w:r>
      <w:r w:rsidRPr="001948A1">
        <w:rPr>
          <w:rFonts w:cstheme="minorHAnsi"/>
          <w:i/>
          <w:sz w:val="24"/>
          <w:szCs w:val="24"/>
        </w:rPr>
        <w:t>Gonzaga</w:t>
      </w:r>
      <w:r w:rsidRPr="001948A1">
        <w:rPr>
          <w:rFonts w:cstheme="minorHAnsi"/>
          <w:sz w:val="24"/>
          <w:szCs w:val="24"/>
        </w:rPr>
        <w:t xml:space="preserve"> replaced </w:t>
      </w:r>
      <w:r w:rsidRPr="001948A1">
        <w:rPr>
          <w:rFonts w:cstheme="minorHAnsi"/>
          <w:i/>
          <w:sz w:val="24"/>
          <w:szCs w:val="24"/>
        </w:rPr>
        <w:t>Blessing</w:t>
      </w:r>
      <w:r w:rsidRPr="001948A1">
        <w:rPr>
          <w:rFonts w:cstheme="minorHAnsi"/>
          <w:sz w:val="24"/>
          <w:szCs w:val="24"/>
        </w:rPr>
        <w:t xml:space="preserve"> altogether,</w:t>
      </w:r>
      <w:r w:rsidRPr="007E4F3A">
        <w:rPr>
          <w:rStyle w:val="FootnoteReference"/>
          <w:rFonts w:cstheme="minorHAnsi"/>
          <w:sz w:val="24"/>
          <w:szCs w:val="24"/>
        </w:rPr>
        <w:footnoteReference w:id="37"/>
      </w:r>
      <w:r w:rsidRPr="001948A1">
        <w:rPr>
          <w:rFonts w:cstheme="minorHAnsi"/>
          <w:sz w:val="24"/>
          <w:szCs w:val="24"/>
        </w:rPr>
        <w:t xml:space="preserve"> attorneys should continue to assess each provision at issue against all three prongs of the enforcement test when developing and briefing the claims in the case.</w:t>
      </w:r>
    </w:p>
    <w:p w:rsidR="00265093" w:rsidRPr="001948A1" w:rsidRDefault="00265093" w:rsidP="00265093">
      <w:pPr>
        <w:widowControl w:val="0"/>
        <w:autoSpaceDE w:val="0"/>
        <w:autoSpaceDN w:val="0"/>
        <w:adjustRightInd w:val="0"/>
        <w:spacing w:after="0" w:line="240" w:lineRule="auto"/>
        <w:ind w:left="1080"/>
      </w:pPr>
    </w:p>
    <w:p w:rsidR="0030428D" w:rsidRDefault="007E4F3A" w:rsidP="001948A1">
      <w:pPr>
        <w:widowControl w:val="0"/>
        <w:numPr>
          <w:ilvl w:val="0"/>
          <w:numId w:val="11"/>
        </w:numPr>
        <w:autoSpaceDE w:val="0"/>
        <w:autoSpaceDN w:val="0"/>
        <w:adjustRightInd w:val="0"/>
        <w:spacing w:after="0" w:line="240" w:lineRule="auto"/>
      </w:pPr>
      <w:r w:rsidRPr="001948A1">
        <w:rPr>
          <w:rFonts w:cstheme="minorHAnsi"/>
          <w:sz w:val="24"/>
          <w:szCs w:val="24"/>
        </w:rPr>
        <w:t>Courts are not allowing private enforcement of federal regulations, standing alone, through § 1983, but regulations can be cited in the complaint’s legal framework section. Regulations can also be cited in the complaint’s background section and in briefs to fill out the requirements of statutes that are themselves privately enforceable.</w:t>
      </w:r>
    </w:p>
    <w:sectPr w:rsidR="0030428D" w:rsidSect="00B975A2">
      <w:headerReference w:type="even" r:id="rId9"/>
      <w:headerReference w:type="default" r:id="rId10"/>
      <w:footerReference w:type="default" r:id="rId11"/>
      <w:headerReference w:type="first" r:id="rId12"/>
      <w:footerReference w:type="first" r:id="rId13"/>
      <w:pgSz w:w="12240" w:h="15840"/>
      <w:pgMar w:top="144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0D" w:rsidRDefault="002A080D" w:rsidP="006579B0">
      <w:pPr>
        <w:spacing w:after="0" w:line="240" w:lineRule="auto"/>
      </w:pPr>
      <w:r>
        <w:separator/>
      </w:r>
    </w:p>
  </w:endnote>
  <w:endnote w:type="continuationSeparator" w:id="0">
    <w:p w:rsidR="002A080D" w:rsidRDefault="002A080D" w:rsidP="0065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440065064"/>
      <w:docPartObj>
        <w:docPartGallery w:val="Page Numbers (Bottom of Page)"/>
        <w:docPartUnique/>
      </w:docPartObj>
    </w:sdtPr>
    <w:sdtEndPr>
      <w:rPr>
        <w:rFonts w:asciiTheme="minorHAnsi" w:hAnsiTheme="minorHAnsi" w:cstheme="minorBidi"/>
        <w:noProof/>
        <w:sz w:val="18"/>
        <w:szCs w:val="20"/>
      </w:rPr>
    </w:sdtEndPr>
    <w:sdtContent>
      <w:p w:rsidR="00B975A2" w:rsidRDefault="00B975A2" w:rsidP="009873A1">
        <w:pPr>
          <w:pStyle w:val="Footer"/>
          <w:tabs>
            <w:tab w:val="left" w:pos="0"/>
          </w:tabs>
          <w:rPr>
            <w:rFonts w:asciiTheme="majorHAnsi" w:hAnsiTheme="majorHAnsi" w:cstheme="majorHAnsi"/>
            <w:sz w:val="20"/>
          </w:rPr>
        </w:pPr>
      </w:p>
      <w:p w:rsidR="00B975A2" w:rsidRPr="00BE4E79" w:rsidRDefault="00B975A2" w:rsidP="009873A1">
        <w:pPr>
          <w:pStyle w:val="Footer"/>
          <w:tabs>
            <w:tab w:val="left" w:pos="0"/>
          </w:tabs>
          <w:rPr>
            <w:rFonts w:asciiTheme="majorHAnsi" w:hAnsiTheme="majorHAnsi" w:cstheme="majorHAnsi"/>
            <w:szCs w:val="20"/>
          </w:rPr>
        </w:pPr>
        <w:r w:rsidRPr="009C45A9">
          <w:rPr>
            <w:rFonts w:ascii="Arial" w:hAnsi="Arial"/>
            <w:b/>
            <w:noProof/>
            <w:color w:val="002060"/>
            <w:sz w:val="24"/>
          </w:rPr>
          <w:drawing>
            <wp:inline distT="0" distB="0" distL="0" distR="0" wp14:anchorId="2C8371DD" wp14:editId="49B3E3A2">
              <wp:extent cx="970865" cy="365760"/>
              <wp:effectExtent l="0" t="0" r="1270" b="0"/>
              <wp:docPr id="21" name="Picture 21" descr="\\psf\Home\Desktop\NHELP\ACA Top 6\NHLP_2c_2995-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NHELP\ACA Top 6\NHLP_2c_2995-28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865" cy="365760"/>
                      </a:xfrm>
                      <a:prstGeom prst="rect">
                        <a:avLst/>
                      </a:prstGeom>
                      <a:noFill/>
                      <a:ln>
                        <a:noFill/>
                      </a:ln>
                    </pic:spPr>
                  </pic:pic>
                </a:graphicData>
              </a:graphic>
            </wp:inline>
          </w:drawing>
        </w:r>
        <w:r w:rsidRPr="009C45A9">
          <w:rPr>
            <w:color w:val="002060"/>
            <w:sz w:val="18"/>
          </w:rPr>
          <w:ptab w:relativeTo="margin" w:alignment="right" w:leader="none"/>
        </w:r>
        <w:r w:rsidRPr="00BE4E79">
          <w:rPr>
            <w:color w:val="002060"/>
            <w:szCs w:val="20"/>
          </w:rPr>
          <w:fldChar w:fldCharType="begin"/>
        </w:r>
        <w:r w:rsidRPr="00BE4E79">
          <w:rPr>
            <w:color w:val="002060"/>
            <w:szCs w:val="20"/>
          </w:rPr>
          <w:instrText xml:space="preserve"> PAGE   \* MERGEFORMAT </w:instrText>
        </w:r>
        <w:r w:rsidRPr="00BE4E79">
          <w:rPr>
            <w:color w:val="002060"/>
            <w:szCs w:val="20"/>
          </w:rPr>
          <w:fldChar w:fldCharType="separate"/>
        </w:r>
        <w:r w:rsidR="00245F12">
          <w:rPr>
            <w:noProof/>
            <w:color w:val="002060"/>
            <w:szCs w:val="20"/>
          </w:rPr>
          <w:t>11</w:t>
        </w:r>
        <w:r w:rsidRPr="00BE4E79">
          <w:rPr>
            <w:noProof/>
            <w:color w:val="002060"/>
            <w:szCs w:val="20"/>
          </w:rPr>
          <w:fldChar w:fldCharType="end"/>
        </w:r>
      </w:p>
      <w:p w:rsidR="00B975A2" w:rsidRPr="009873A1" w:rsidRDefault="00245F12" w:rsidP="009873A1">
        <w:pPr>
          <w:pStyle w:val="Footer"/>
          <w:jc w:val="right"/>
          <w:rPr>
            <w:noProof/>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A2" w:rsidRPr="009873A1" w:rsidRDefault="00B975A2" w:rsidP="009873A1">
    <w:pPr>
      <w:spacing w:after="0" w:line="240" w:lineRule="auto"/>
      <w:rPr>
        <w:sz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55"/>
      <w:gridCol w:w="2355"/>
    </w:tblGrid>
    <w:tr w:rsidR="00B975A2" w:rsidRPr="00BE1D99" w:rsidTr="009873A1">
      <w:trPr>
        <w:trHeight w:val="230"/>
        <w:jc w:val="center"/>
      </w:trPr>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Washington, DC</w:t>
          </w:r>
        </w:p>
      </w:tc>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Los Angeles, CA</w:t>
          </w:r>
        </w:p>
      </w:tc>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Carrboro, NC</w:t>
          </w:r>
        </w:p>
      </w:tc>
    </w:tr>
    <w:tr w:rsidR="00B975A2" w:rsidRPr="00BE1D99" w:rsidTr="009873A1">
      <w:trPr>
        <w:trHeight w:val="230"/>
        <w:jc w:val="center"/>
      </w:trPr>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(202) 289-7661</w:t>
          </w:r>
        </w:p>
      </w:tc>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(310) 204-6010</w:t>
          </w:r>
        </w:p>
      </w:tc>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(919) 968-6308</w:t>
          </w:r>
        </w:p>
      </w:tc>
    </w:tr>
    <w:tr w:rsidR="00B975A2" w:rsidRPr="00BE1D99" w:rsidTr="009873A1">
      <w:trPr>
        <w:trHeight w:val="230"/>
        <w:jc w:val="center"/>
      </w:trPr>
      <w:tc>
        <w:tcPr>
          <w:tcW w:w="7065" w:type="dxa"/>
          <w:gridSpan w:val="3"/>
          <w:vAlign w:val="bottom"/>
        </w:tcPr>
        <w:p w:rsidR="00B975A2" w:rsidRPr="00BE1D99" w:rsidRDefault="00245F12" w:rsidP="009873A1">
          <w:pPr>
            <w:pStyle w:val="Footer"/>
            <w:tabs>
              <w:tab w:val="left" w:pos="2242"/>
            </w:tabs>
            <w:jc w:val="center"/>
            <w:rPr>
              <w:rFonts w:asciiTheme="majorHAnsi" w:hAnsiTheme="majorHAnsi" w:cstheme="majorHAnsi"/>
              <w:sz w:val="18"/>
              <w:szCs w:val="18"/>
            </w:rPr>
          </w:pPr>
          <w:hyperlink r:id="rId1" w:history="1">
            <w:r w:rsidR="00B975A2" w:rsidRPr="00BE1D99">
              <w:rPr>
                <w:rStyle w:val="Hyperlink"/>
                <w:rFonts w:asciiTheme="majorHAnsi" w:hAnsiTheme="majorHAnsi" w:cstheme="majorHAnsi"/>
                <w:sz w:val="18"/>
                <w:szCs w:val="18"/>
              </w:rPr>
              <w:t>www.healthlaw.org</w:t>
            </w:r>
          </w:hyperlink>
        </w:p>
      </w:tc>
    </w:tr>
  </w:tbl>
  <w:p w:rsidR="00B975A2" w:rsidRPr="0083060F" w:rsidRDefault="00B975A2" w:rsidP="0083060F">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0D" w:rsidRDefault="002A080D" w:rsidP="006579B0">
      <w:pPr>
        <w:spacing w:after="0" w:line="240" w:lineRule="auto"/>
      </w:pPr>
      <w:r>
        <w:separator/>
      </w:r>
    </w:p>
  </w:footnote>
  <w:footnote w:type="continuationSeparator" w:id="0">
    <w:p w:rsidR="002A080D" w:rsidRDefault="002A080D" w:rsidP="006579B0">
      <w:pPr>
        <w:spacing w:after="0" w:line="240" w:lineRule="auto"/>
      </w:pPr>
      <w:r>
        <w:continuationSeparator/>
      </w:r>
    </w:p>
  </w:footnote>
  <w:footnote w:id="1">
    <w:p w:rsidR="00BE71BC" w:rsidRPr="001948A1" w:rsidRDefault="00BE71BC" w:rsidP="00BE71BC">
      <w:pPr>
        <w:pStyle w:val="FootnoteText"/>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szCs w:val="22"/>
        </w:rPr>
        <w:t>Produced with a grant from the Training Advocacy Support Center (TASC), which is sponsored by the Administration on Intellectual and Developmental Disabilities (AIDD), the Substance Abuse and Mental Health Services Administration (SAMHSA), the Rehabilitation Services Administration (RSA), the Social Security Administration (SSA), and the Health Resources Services Administration (HRSA).</w:t>
      </w:r>
      <w:proofErr w:type="gramEnd"/>
      <w:r w:rsidRPr="001948A1">
        <w:rPr>
          <w:rFonts w:ascii="Tahoma" w:hAnsi="Tahoma" w:cs="Tahoma"/>
          <w:szCs w:val="22"/>
        </w:rPr>
        <w:t xml:space="preserve"> TASC is a division of the National Disabilities Rights Network (NDRN).</w:t>
      </w:r>
    </w:p>
  </w:footnote>
  <w:footnote w:id="2">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szCs w:val="22"/>
        </w:rPr>
        <w:t xml:space="preserve">For previous NHeLP discussion, </w:t>
      </w:r>
      <w:r w:rsidRPr="001948A1">
        <w:rPr>
          <w:rFonts w:ascii="Tahoma" w:hAnsi="Tahoma" w:cs="Tahoma"/>
          <w:i/>
          <w:szCs w:val="22"/>
        </w:rPr>
        <w:t>see</w:t>
      </w:r>
      <w:r w:rsidRPr="001948A1">
        <w:rPr>
          <w:rFonts w:ascii="Tahoma" w:hAnsi="Tahoma" w:cs="Tahoma"/>
          <w:szCs w:val="22"/>
        </w:rPr>
        <w:t>,</w:t>
      </w:r>
      <w:r w:rsidRPr="001948A1">
        <w:rPr>
          <w:rFonts w:ascii="Tahoma" w:hAnsi="Tahoma" w:cs="Tahoma"/>
          <w:i/>
          <w:szCs w:val="22"/>
        </w:rPr>
        <w:t xml:space="preserve"> e.g.</w:t>
      </w:r>
      <w:r w:rsidRPr="001948A1">
        <w:rPr>
          <w:rFonts w:ascii="Tahoma" w:hAnsi="Tahoma" w:cs="Tahoma"/>
          <w:szCs w:val="22"/>
        </w:rPr>
        <w:t>,</w:t>
      </w:r>
      <w:r w:rsidRPr="001948A1">
        <w:rPr>
          <w:rFonts w:ascii="Tahoma" w:hAnsi="Tahoma" w:cs="Tahoma"/>
          <w:i/>
          <w:szCs w:val="22"/>
        </w:rPr>
        <w:t xml:space="preserve"> </w:t>
      </w:r>
      <w:r w:rsidRPr="001948A1">
        <w:rPr>
          <w:rFonts w:ascii="Tahoma" w:hAnsi="Tahoma" w:cs="Tahoma"/>
          <w:szCs w:val="22"/>
        </w:rPr>
        <w:t xml:space="preserve">Jane Perkins, </w:t>
      </w:r>
      <w:r w:rsidRPr="001948A1">
        <w:rPr>
          <w:rFonts w:ascii="Tahoma" w:hAnsi="Tahoma" w:cs="Tahoma"/>
          <w:i/>
          <w:szCs w:val="22"/>
        </w:rPr>
        <w:t xml:space="preserve">Update on Private Enforcement of the Medicaid Act Pursuant to 42 U.S.C. § 1983 </w:t>
      </w:r>
      <w:r w:rsidRPr="001948A1">
        <w:rPr>
          <w:rFonts w:ascii="Tahoma" w:hAnsi="Tahoma" w:cs="Tahoma"/>
          <w:szCs w:val="22"/>
        </w:rPr>
        <w:t>(Sept. 26, 2012) (available from NHeLP).</w:t>
      </w:r>
      <w:proofErr w:type="gramEnd"/>
    </w:p>
    <w:p w:rsidR="007E4F3A" w:rsidRPr="001948A1" w:rsidRDefault="007E4F3A" w:rsidP="001948A1">
      <w:pPr>
        <w:pStyle w:val="FootnoteText"/>
        <w:rPr>
          <w:rFonts w:ascii="Tahoma" w:hAnsi="Tahoma" w:cs="Tahoma"/>
          <w:szCs w:val="22"/>
        </w:rPr>
      </w:pPr>
    </w:p>
  </w:footnote>
  <w:footnote w:id="3">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John Vail &amp; Jane Perkins, </w:t>
      </w:r>
      <w:r w:rsidRPr="001948A1">
        <w:rPr>
          <w:rFonts w:ascii="Tahoma" w:hAnsi="Tahoma" w:cs="Tahoma"/>
          <w:i/>
          <w:szCs w:val="22"/>
        </w:rPr>
        <w:t>Chipping at the Core of Justice</w:t>
      </w:r>
      <w:r w:rsidRPr="001948A1">
        <w:rPr>
          <w:rFonts w:ascii="Tahoma" w:hAnsi="Tahoma" w:cs="Tahoma"/>
          <w:szCs w:val="22"/>
        </w:rPr>
        <w:t xml:space="preserve">, 40 </w:t>
      </w:r>
      <w:r w:rsidRPr="001948A1">
        <w:rPr>
          <w:rFonts w:ascii="Tahoma" w:hAnsi="Tahoma" w:cs="Tahoma"/>
          <w:smallCaps/>
          <w:szCs w:val="22"/>
        </w:rPr>
        <w:t xml:space="preserve">Trial </w:t>
      </w:r>
      <w:r w:rsidRPr="001948A1">
        <w:rPr>
          <w:rFonts w:ascii="Tahoma" w:hAnsi="Tahoma" w:cs="Tahoma"/>
          <w:szCs w:val="22"/>
        </w:rPr>
        <w:t>28 (Apr. 2004) (quoting William Blackstone, Commentaries on the Laws of England 109 (1765)).</w:t>
      </w:r>
    </w:p>
  </w:footnote>
  <w:footnote w:id="4">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i/>
          <w:szCs w:val="22"/>
        </w:rPr>
        <w:t>Marbury v. Madison</w:t>
      </w:r>
      <w:r w:rsidRPr="001948A1">
        <w:rPr>
          <w:rFonts w:ascii="Tahoma" w:hAnsi="Tahoma" w:cs="Tahoma"/>
          <w:szCs w:val="22"/>
        </w:rPr>
        <w:t xml:space="preserve">, 5 U.S. (1 </w:t>
      </w:r>
      <w:proofErr w:type="spellStart"/>
      <w:r w:rsidRPr="001948A1">
        <w:rPr>
          <w:rFonts w:ascii="Tahoma" w:hAnsi="Tahoma" w:cs="Tahoma"/>
          <w:szCs w:val="22"/>
        </w:rPr>
        <w:t>Cranch</w:t>
      </w:r>
      <w:proofErr w:type="spellEnd"/>
      <w:r w:rsidRPr="001948A1">
        <w:rPr>
          <w:rFonts w:ascii="Tahoma" w:hAnsi="Tahoma" w:cs="Tahoma"/>
          <w:szCs w:val="22"/>
        </w:rPr>
        <w:t>) 137, 163 (1803).</w:t>
      </w:r>
      <w:proofErr w:type="gramEnd"/>
    </w:p>
  </w:footnote>
  <w:footnote w:id="5">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 xml:space="preserve">See </w:t>
      </w:r>
      <w:r w:rsidRPr="001948A1">
        <w:rPr>
          <w:rFonts w:ascii="Tahoma" w:hAnsi="Tahoma" w:cs="Tahoma"/>
          <w:szCs w:val="22"/>
        </w:rPr>
        <w:t xml:space="preserve">U.S. Const., art. </w:t>
      </w:r>
      <w:proofErr w:type="gramStart"/>
      <w:r w:rsidRPr="001948A1">
        <w:rPr>
          <w:rFonts w:ascii="Tahoma" w:hAnsi="Tahoma" w:cs="Tahoma"/>
          <w:szCs w:val="22"/>
        </w:rPr>
        <w:t>I, § 8, cl. 1.</w:t>
      </w:r>
      <w:proofErr w:type="gramEnd"/>
    </w:p>
  </w:footnote>
  <w:footnote w:id="6">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i/>
          <w:szCs w:val="22"/>
        </w:rPr>
        <w:t xml:space="preserve">J.I. Case Co. v. </w:t>
      </w:r>
      <w:proofErr w:type="spellStart"/>
      <w:r w:rsidRPr="001948A1">
        <w:rPr>
          <w:rFonts w:ascii="Tahoma" w:hAnsi="Tahoma" w:cs="Tahoma"/>
          <w:i/>
          <w:szCs w:val="22"/>
        </w:rPr>
        <w:t>Borak</w:t>
      </w:r>
      <w:proofErr w:type="spellEnd"/>
      <w:r w:rsidRPr="001948A1">
        <w:rPr>
          <w:rFonts w:ascii="Tahoma" w:hAnsi="Tahoma" w:cs="Tahoma"/>
          <w:szCs w:val="22"/>
        </w:rPr>
        <w:t>, 377 U.S. 426, 433 (1964).</w:t>
      </w:r>
      <w:proofErr w:type="gramEnd"/>
      <w:r w:rsidRPr="001948A1">
        <w:rPr>
          <w:rFonts w:ascii="Tahoma" w:hAnsi="Tahoma" w:cs="Tahoma"/>
          <w:szCs w:val="22"/>
        </w:rPr>
        <w:t xml:space="preserve"> </w:t>
      </w:r>
      <w:r w:rsidRPr="001948A1">
        <w:rPr>
          <w:rFonts w:ascii="Tahoma" w:hAnsi="Tahoma" w:cs="Tahoma"/>
          <w:i/>
          <w:szCs w:val="22"/>
        </w:rPr>
        <w:t>Cf. Alexander v. Sandoval</w:t>
      </w:r>
      <w:r w:rsidRPr="001948A1">
        <w:rPr>
          <w:rFonts w:ascii="Tahoma" w:hAnsi="Tahoma" w:cs="Tahoma"/>
          <w:szCs w:val="22"/>
        </w:rPr>
        <w:t>, 532 U.S. 275, 287 (2001) (finding that understanding to have been abandoned and noting that “[h]</w:t>
      </w:r>
      <w:proofErr w:type="spellStart"/>
      <w:r w:rsidRPr="001948A1">
        <w:rPr>
          <w:rFonts w:ascii="Tahoma" w:hAnsi="Tahoma" w:cs="Tahoma"/>
          <w:szCs w:val="22"/>
        </w:rPr>
        <w:t>aving</w:t>
      </w:r>
      <w:proofErr w:type="spellEnd"/>
      <w:r w:rsidRPr="001948A1">
        <w:rPr>
          <w:rFonts w:ascii="Tahoma" w:hAnsi="Tahoma" w:cs="Tahoma"/>
          <w:szCs w:val="22"/>
        </w:rPr>
        <w:t xml:space="preserve"> sworn off the habit of venturing beyond Congress’s intent, we will not accept respondent’s invitation to have one last drink.”).</w:t>
      </w:r>
      <w:r w:rsidRPr="001948A1">
        <w:rPr>
          <w:rFonts w:ascii="Tahoma" w:hAnsi="Tahoma" w:cs="Tahoma"/>
          <w:i/>
          <w:szCs w:val="22"/>
        </w:rPr>
        <w:t xml:space="preserve"> </w:t>
      </w:r>
      <w:r w:rsidRPr="001948A1">
        <w:rPr>
          <w:rFonts w:ascii="Tahoma" w:hAnsi="Tahoma" w:cs="Tahoma"/>
          <w:szCs w:val="22"/>
        </w:rPr>
        <w:t xml:space="preserve">   </w:t>
      </w:r>
    </w:p>
  </w:footnote>
  <w:footnote w:id="7">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42 U.S.C. § 1983 states: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w:t>
      </w:r>
      <w:proofErr w:type="gramStart"/>
      <w:r w:rsidRPr="001948A1">
        <w:rPr>
          <w:rFonts w:ascii="Tahoma" w:hAnsi="Tahoma" w:cs="Tahoma"/>
          <w:szCs w:val="22"/>
        </w:rPr>
        <w:t>42 U.S.C. § 1983.</w:t>
      </w:r>
      <w:proofErr w:type="gramEnd"/>
    </w:p>
  </w:footnote>
  <w:footnote w:id="8">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392 U.S. 309 (1968) (“There is of course no question that the Federal Government, unless barred by some controlling constitutional prohibition, may impose the terms and conditions upon which its money allotments to the States shall be disbursed, and that any state law or regulation inconsistent with such federal terms and conditions is to that extent invalid.”); </w:t>
      </w:r>
      <w:r w:rsidRPr="001948A1">
        <w:rPr>
          <w:rFonts w:ascii="Tahoma" w:hAnsi="Tahoma" w:cs="Tahoma"/>
          <w:i/>
          <w:szCs w:val="22"/>
        </w:rPr>
        <w:t>see also, e.g.</w:t>
      </w:r>
      <w:r w:rsidRPr="001948A1">
        <w:rPr>
          <w:rFonts w:ascii="Tahoma" w:hAnsi="Tahoma" w:cs="Tahoma"/>
          <w:szCs w:val="22"/>
        </w:rPr>
        <w:t xml:space="preserve">, </w:t>
      </w:r>
      <w:r w:rsidRPr="001948A1">
        <w:rPr>
          <w:rFonts w:ascii="Tahoma" w:hAnsi="Tahoma" w:cs="Tahoma"/>
          <w:i/>
          <w:iCs/>
          <w:szCs w:val="22"/>
        </w:rPr>
        <w:t>Edelman v. Jordan</w:t>
      </w:r>
      <w:r w:rsidRPr="001948A1">
        <w:rPr>
          <w:rFonts w:ascii="Tahoma" w:hAnsi="Tahoma" w:cs="Tahoma"/>
          <w:szCs w:val="22"/>
        </w:rPr>
        <w:t xml:space="preserve">, 415 U.S. 651, 675 (1974) (“Suits in federal court under Section 1983 are proper to secure compliance with the provisions of the Social Security Act on the part of participating states.”); </w:t>
      </w:r>
      <w:r w:rsidRPr="001948A1">
        <w:rPr>
          <w:rFonts w:ascii="Tahoma" w:hAnsi="Tahoma" w:cs="Tahoma"/>
          <w:i/>
          <w:szCs w:val="22"/>
        </w:rPr>
        <w:t>Rosado v. Wyman</w:t>
      </w:r>
      <w:r w:rsidRPr="001948A1">
        <w:rPr>
          <w:rFonts w:ascii="Tahoma" w:hAnsi="Tahoma" w:cs="Tahoma"/>
          <w:szCs w:val="22"/>
        </w:rPr>
        <w:t xml:space="preserve">, 397 U.S. 397, 421-22 (1970) (“We are most reluctant to assume Congress has closed the avenue of effective judicial review to those individuals most directly affected by the administration of its program . . . . [W]e </w:t>
      </w:r>
      <w:proofErr w:type="gramStart"/>
      <w:r w:rsidRPr="001948A1">
        <w:rPr>
          <w:rFonts w:ascii="Tahoma" w:hAnsi="Tahoma" w:cs="Tahoma"/>
          <w:szCs w:val="22"/>
        </w:rPr>
        <w:t>find</w:t>
      </w:r>
      <w:proofErr w:type="gramEnd"/>
      <w:r w:rsidRPr="001948A1">
        <w:rPr>
          <w:rFonts w:ascii="Tahoma" w:hAnsi="Tahoma" w:cs="Tahoma"/>
          <w:szCs w:val="22"/>
        </w:rPr>
        <w:t xml:space="preserve"> not the slightest indication that Congress meant to deprive federal courts of their traditional jurisdiction to hear and decide federal questions in this field.”).</w:t>
      </w:r>
    </w:p>
  </w:footnote>
  <w:footnote w:id="9">
    <w:p w:rsidR="007E4F3A" w:rsidRPr="001948A1" w:rsidRDefault="007E4F3A" w:rsidP="001948A1">
      <w:pPr>
        <w:keepLines/>
        <w:spacing w:after="0" w:line="240" w:lineRule="auto"/>
        <w:rPr>
          <w:rFonts w:ascii="Tahoma" w:hAnsi="Tahoma" w:cs="Tahoma"/>
        </w:rPr>
      </w:pPr>
      <w:r w:rsidRPr="001948A1">
        <w:rPr>
          <w:rStyle w:val="FootnoteReference"/>
          <w:rFonts w:ascii="Tahoma" w:hAnsi="Tahoma" w:cs="Tahoma"/>
        </w:rPr>
        <w:footnoteRef/>
      </w:r>
      <w:r w:rsidRPr="001948A1">
        <w:rPr>
          <w:rFonts w:ascii="Tahoma" w:hAnsi="Tahoma" w:cs="Tahoma"/>
        </w:rPr>
        <w:t xml:space="preserve"> 448 U.S. 1, 6-8 (1980) (enforcing a Social Security Act provision). </w:t>
      </w:r>
      <w:r w:rsidRPr="001948A1">
        <w:rPr>
          <w:rFonts w:ascii="Tahoma" w:hAnsi="Tahoma" w:cs="Tahoma"/>
          <w:i/>
        </w:rPr>
        <w:t>See also</w:t>
      </w:r>
      <w:r w:rsidRPr="001948A1">
        <w:rPr>
          <w:rFonts w:ascii="Tahoma" w:hAnsi="Tahoma" w:cs="Tahoma"/>
        </w:rPr>
        <w:t xml:space="preserve">, </w:t>
      </w:r>
      <w:r w:rsidRPr="001948A1">
        <w:rPr>
          <w:rFonts w:ascii="Tahoma" w:hAnsi="Tahoma" w:cs="Tahoma"/>
          <w:i/>
        </w:rPr>
        <w:t>e.g.</w:t>
      </w:r>
      <w:r w:rsidRPr="001948A1">
        <w:rPr>
          <w:rFonts w:ascii="Tahoma" w:hAnsi="Tahoma" w:cs="Tahoma"/>
        </w:rPr>
        <w:t xml:space="preserve">, </w:t>
      </w:r>
      <w:r w:rsidRPr="001948A1">
        <w:rPr>
          <w:rFonts w:ascii="Tahoma" w:hAnsi="Tahoma" w:cs="Tahoma"/>
          <w:i/>
          <w:iCs/>
        </w:rPr>
        <w:t xml:space="preserve">Wilder v. Va. Hosp. </w:t>
      </w:r>
      <w:proofErr w:type="spellStart"/>
      <w:r w:rsidRPr="001948A1">
        <w:rPr>
          <w:rFonts w:ascii="Tahoma" w:hAnsi="Tahoma" w:cs="Tahoma"/>
          <w:i/>
          <w:iCs/>
        </w:rPr>
        <w:t>Ass’n</w:t>
      </w:r>
      <w:proofErr w:type="spellEnd"/>
      <w:r w:rsidRPr="001948A1">
        <w:rPr>
          <w:rFonts w:ascii="Tahoma" w:hAnsi="Tahoma" w:cs="Tahoma"/>
        </w:rPr>
        <w:t xml:space="preserve">, 496 U.S. 498 (1990) (allowing private enforcement of a Medicaid Act provision). </w:t>
      </w:r>
      <w:r w:rsidRPr="001948A1">
        <w:rPr>
          <w:rFonts w:ascii="Tahoma" w:hAnsi="Tahoma" w:cs="Tahoma"/>
          <w:i/>
        </w:rPr>
        <w:t xml:space="preserve">But cf. </w:t>
      </w:r>
      <w:r w:rsidRPr="001948A1">
        <w:rPr>
          <w:rFonts w:ascii="Tahoma" w:hAnsi="Tahoma" w:cs="Tahoma"/>
        </w:rPr>
        <w:t xml:space="preserve">Brief for the United States as Amicus Curiae Supporting Petitioners, Wilder v. Virginia Hosp. </w:t>
      </w:r>
      <w:proofErr w:type="spellStart"/>
      <w:r w:rsidRPr="001948A1">
        <w:rPr>
          <w:rFonts w:ascii="Tahoma" w:hAnsi="Tahoma" w:cs="Tahoma"/>
        </w:rPr>
        <w:t>Ass’n</w:t>
      </w:r>
      <w:proofErr w:type="spellEnd"/>
      <w:r w:rsidRPr="001948A1">
        <w:rPr>
          <w:rFonts w:ascii="Tahoma" w:hAnsi="Tahoma" w:cs="Tahoma"/>
        </w:rPr>
        <w:t xml:space="preserve">, 498 U.S. 496 (1990) (No. 88-2043) (Deputy Solicitor General John Roberts arguing </w:t>
      </w:r>
      <w:proofErr w:type="spellStart"/>
      <w:r w:rsidRPr="001948A1">
        <w:rPr>
          <w:rFonts w:ascii="Tahoma" w:hAnsi="Tahoma" w:cs="Tahoma"/>
          <w:i/>
        </w:rPr>
        <w:t>Pennhurst</w:t>
      </w:r>
      <w:proofErr w:type="spellEnd"/>
      <w:r w:rsidRPr="001948A1">
        <w:rPr>
          <w:rFonts w:ascii="Tahoma" w:hAnsi="Tahoma" w:cs="Tahoma"/>
        </w:rPr>
        <w:t xml:space="preserve"> precluded enforcement under § 1983).</w:t>
      </w:r>
    </w:p>
  </w:footnote>
  <w:footnote w:id="10">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i/>
          <w:szCs w:val="22"/>
        </w:rPr>
        <w:t>Golden State Transit Corp. v. City of L.A.</w:t>
      </w:r>
      <w:r w:rsidRPr="001948A1">
        <w:rPr>
          <w:rFonts w:ascii="Tahoma" w:hAnsi="Tahoma" w:cs="Tahoma"/>
          <w:szCs w:val="22"/>
        </w:rPr>
        <w:t>, 493 U.S. 103, 106 (1989).</w:t>
      </w:r>
      <w:proofErr w:type="gramEnd"/>
      <w:r w:rsidRPr="001948A1">
        <w:rPr>
          <w:rFonts w:ascii="Tahoma" w:hAnsi="Tahoma" w:cs="Tahoma"/>
          <w:szCs w:val="22"/>
        </w:rPr>
        <w:t xml:space="preserve"> </w:t>
      </w:r>
      <w:r w:rsidRPr="001948A1">
        <w:rPr>
          <w:rFonts w:ascii="Tahoma" w:hAnsi="Tahoma" w:cs="Tahoma"/>
          <w:i/>
          <w:szCs w:val="22"/>
        </w:rPr>
        <w:t>See also Blessing v. Freestone</w:t>
      </w:r>
      <w:r w:rsidRPr="001948A1">
        <w:rPr>
          <w:rFonts w:ascii="Tahoma" w:hAnsi="Tahoma" w:cs="Tahoma"/>
          <w:szCs w:val="22"/>
        </w:rPr>
        <w:t xml:space="preserve">, 520 U.S. 329, 340 (1997) (citing </w:t>
      </w:r>
      <w:r w:rsidRPr="001948A1">
        <w:rPr>
          <w:rFonts w:ascii="Tahoma" w:hAnsi="Tahoma" w:cs="Tahoma"/>
          <w:i/>
          <w:szCs w:val="22"/>
        </w:rPr>
        <w:t>Golden State Transit</w:t>
      </w:r>
      <w:r w:rsidRPr="001948A1">
        <w:rPr>
          <w:rFonts w:ascii="Tahoma" w:hAnsi="Tahoma" w:cs="Tahoma"/>
          <w:szCs w:val="22"/>
        </w:rPr>
        <w:t>).</w:t>
      </w:r>
    </w:p>
  </w:footnote>
  <w:footnote w:id="11">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E.g. Blessing</w:t>
      </w:r>
      <w:r w:rsidRPr="001948A1">
        <w:rPr>
          <w:rFonts w:ascii="Tahoma" w:hAnsi="Tahoma" w:cs="Tahoma"/>
          <w:szCs w:val="22"/>
        </w:rPr>
        <w:t>, 520 U.S. at 341-42.</w:t>
      </w:r>
    </w:p>
  </w:footnote>
  <w:footnote w:id="12">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Id.</w:t>
      </w:r>
      <w:r w:rsidRPr="001948A1">
        <w:rPr>
          <w:rFonts w:ascii="Tahoma" w:hAnsi="Tahoma" w:cs="Tahoma"/>
          <w:szCs w:val="22"/>
        </w:rPr>
        <w:t xml:space="preserve"> at 341 (“Even if a plaintiff demonstrates that a federal statute creates an individual right, there is only a rebuttable presumption that the right is enforceable under § 1983. Because our inquiry focuses on congressional intent, dismissal is proper if Congress ‘specifically foreclosed a remedy under § 1983.’” (</w:t>
      </w:r>
      <w:proofErr w:type="gramStart"/>
      <w:r w:rsidRPr="001948A1">
        <w:rPr>
          <w:rFonts w:ascii="Tahoma" w:hAnsi="Tahoma" w:cs="Tahoma"/>
          <w:szCs w:val="22"/>
        </w:rPr>
        <w:t>quoting</w:t>
      </w:r>
      <w:proofErr w:type="gramEnd"/>
      <w:r w:rsidRPr="001948A1">
        <w:rPr>
          <w:rFonts w:ascii="Tahoma" w:hAnsi="Tahoma" w:cs="Tahoma"/>
          <w:szCs w:val="22"/>
        </w:rPr>
        <w:t xml:space="preserve"> Smith v. Robinson, 468 U.S. 992, 1005 n. 9 (1984)). </w:t>
      </w:r>
    </w:p>
  </w:footnote>
  <w:footnote w:id="13">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 xml:space="preserve">See </w:t>
      </w:r>
      <w:r w:rsidRPr="001948A1">
        <w:rPr>
          <w:rFonts w:ascii="Tahoma" w:hAnsi="Tahoma" w:cs="Tahoma"/>
          <w:i/>
          <w:iCs/>
          <w:szCs w:val="22"/>
        </w:rPr>
        <w:t>Wilder</w:t>
      </w:r>
      <w:r w:rsidRPr="001948A1">
        <w:rPr>
          <w:rFonts w:ascii="Tahoma" w:hAnsi="Tahoma" w:cs="Tahoma"/>
          <w:szCs w:val="22"/>
        </w:rPr>
        <w:t xml:space="preserve">, 496 U.S. at 521 (“The Medicaid Act contains no . . . provision for private judicial or administrative enforcement.”); </w:t>
      </w:r>
      <w:r w:rsidRPr="001948A1">
        <w:rPr>
          <w:rFonts w:ascii="Tahoma" w:hAnsi="Tahoma" w:cs="Tahoma"/>
          <w:i/>
          <w:szCs w:val="22"/>
        </w:rPr>
        <w:t>see City of Rancho Palos Verdes v. Abrams</w:t>
      </w:r>
      <w:r w:rsidRPr="001948A1">
        <w:rPr>
          <w:rFonts w:ascii="Tahoma" w:hAnsi="Tahoma" w:cs="Tahoma"/>
          <w:szCs w:val="22"/>
        </w:rPr>
        <w:t xml:space="preserve">, 544 U.S. 113, 121-22 (2005) (citing </w:t>
      </w:r>
      <w:r w:rsidRPr="001948A1">
        <w:rPr>
          <w:rFonts w:ascii="Tahoma" w:hAnsi="Tahoma" w:cs="Tahoma"/>
          <w:i/>
          <w:szCs w:val="22"/>
        </w:rPr>
        <w:t xml:space="preserve">Wilder </w:t>
      </w:r>
      <w:r w:rsidRPr="001948A1">
        <w:rPr>
          <w:rFonts w:ascii="Tahoma" w:hAnsi="Tahoma" w:cs="Tahoma"/>
          <w:szCs w:val="22"/>
        </w:rPr>
        <w:t xml:space="preserve">and listing Medicaid as a statute whose enforcement is not foreclosed). </w:t>
      </w:r>
    </w:p>
  </w:footnote>
  <w:footnote w:id="14">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szCs w:val="22"/>
        </w:rPr>
        <w:t>451 U.S. 1 (1981).</w:t>
      </w:r>
      <w:proofErr w:type="gramEnd"/>
    </w:p>
  </w:footnote>
  <w:footnote w:id="15">
    <w:p w:rsidR="007E4F3A" w:rsidRPr="001948A1" w:rsidRDefault="007E4F3A" w:rsidP="001948A1">
      <w:pPr>
        <w:keepLines/>
        <w:spacing w:after="0" w:line="240" w:lineRule="auto"/>
        <w:rPr>
          <w:rFonts w:ascii="Tahoma" w:hAnsi="Tahoma" w:cs="Tahoma"/>
        </w:rPr>
      </w:pPr>
      <w:r w:rsidRPr="001948A1">
        <w:rPr>
          <w:rStyle w:val="FootnoteReference"/>
          <w:rFonts w:ascii="Tahoma" w:hAnsi="Tahoma" w:cs="Tahoma"/>
        </w:rPr>
        <w:footnoteRef/>
      </w:r>
      <w:r w:rsidRPr="001948A1">
        <w:rPr>
          <w:rFonts w:ascii="Tahoma" w:hAnsi="Tahoma" w:cs="Tahoma"/>
          <w:i/>
        </w:rPr>
        <w:t xml:space="preserve"> Id.</w:t>
      </w:r>
      <w:r w:rsidRPr="001948A1">
        <w:rPr>
          <w:rFonts w:ascii="Tahoma" w:hAnsi="Tahoma" w:cs="Tahoma"/>
        </w:rPr>
        <w:t xml:space="preserve"> at 17, 28 (“[L]</w:t>
      </w:r>
      <w:proofErr w:type="spellStart"/>
      <w:r w:rsidRPr="001948A1">
        <w:rPr>
          <w:rFonts w:ascii="Tahoma" w:hAnsi="Tahoma" w:cs="Tahoma"/>
        </w:rPr>
        <w:t>egislation</w:t>
      </w:r>
      <w:proofErr w:type="spellEnd"/>
      <w:r w:rsidRPr="001948A1">
        <w:rPr>
          <w:rFonts w:ascii="Tahoma" w:hAnsi="Tahoma" w:cs="Tahoma"/>
        </w:rPr>
        <w:t xml:space="preserve"> enacted pursuant to the spending power is much in the nature of a contract: in return for federal funds, the States agree to comply with federally imposed conditions…. Accordingly, if Congress intends to impose a condition on the grant of federal moneys, it must do so unambiguously…. In legislation enacted pursuant to the spending power, the typical remedy for state noncompliance with federally imposed conditions is not a private cause of action for noncompliance but rather action by the Federal Government to terminate funds to the State.”).</w:t>
      </w:r>
    </w:p>
  </w:footnote>
  <w:footnote w:id="16">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536 U.S. 273 (2002) (refusing to allow § 1983 enforcement of a Federal Education Rights and Privacy Act provision that prohibited federal funding to any entity with a policy or practice of permitting the release of private records without written consent of the student/parent).</w:t>
      </w:r>
    </w:p>
  </w:footnote>
  <w:footnote w:id="17">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i/>
          <w:szCs w:val="22"/>
        </w:rPr>
        <w:t>Id.</w:t>
      </w:r>
      <w:r w:rsidRPr="001948A1">
        <w:rPr>
          <w:rFonts w:ascii="Tahoma" w:hAnsi="Tahoma" w:cs="Tahoma"/>
          <w:szCs w:val="22"/>
        </w:rPr>
        <w:t xml:space="preserve"> at 279-80.</w:t>
      </w:r>
      <w:proofErr w:type="gramEnd"/>
    </w:p>
  </w:footnote>
  <w:footnote w:id="18">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 xml:space="preserve">Id. </w:t>
      </w:r>
      <w:r w:rsidRPr="001948A1">
        <w:rPr>
          <w:rFonts w:ascii="Tahoma" w:hAnsi="Tahoma" w:cs="Tahoma"/>
          <w:szCs w:val="22"/>
        </w:rPr>
        <w:t xml:space="preserve">(“We made clear [in </w:t>
      </w:r>
      <w:proofErr w:type="spellStart"/>
      <w:r w:rsidRPr="001948A1">
        <w:rPr>
          <w:rFonts w:ascii="Tahoma" w:hAnsi="Tahoma" w:cs="Tahoma"/>
          <w:i/>
          <w:szCs w:val="22"/>
        </w:rPr>
        <w:t>Pennhurst</w:t>
      </w:r>
      <w:proofErr w:type="spellEnd"/>
      <w:r w:rsidRPr="001948A1">
        <w:rPr>
          <w:rFonts w:ascii="Tahoma" w:hAnsi="Tahoma" w:cs="Tahoma"/>
          <w:szCs w:val="22"/>
        </w:rPr>
        <w:t xml:space="preserve">] that unless Congress ‘speak[s] with a clear voice,’ and manifests an ‘unambiguous’ intent to confer individual rights, federal funding provisions provide no basis for private enforcement by § 1983.” (quoting </w:t>
      </w:r>
      <w:proofErr w:type="spellStart"/>
      <w:r w:rsidRPr="001948A1">
        <w:rPr>
          <w:rFonts w:ascii="Tahoma" w:hAnsi="Tahoma" w:cs="Tahoma"/>
          <w:i/>
          <w:szCs w:val="22"/>
        </w:rPr>
        <w:t>Pennhurst</w:t>
      </w:r>
      <w:proofErr w:type="spellEnd"/>
      <w:r w:rsidRPr="001948A1">
        <w:rPr>
          <w:rFonts w:ascii="Tahoma" w:hAnsi="Tahoma" w:cs="Tahoma"/>
          <w:szCs w:val="22"/>
        </w:rPr>
        <w:t>, 45 U.S. at 17, 28 and n. 21)).</w:t>
      </w:r>
    </w:p>
  </w:footnote>
  <w:footnote w:id="19">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szCs w:val="22"/>
        </w:rPr>
        <w:t>536 U.S. at 279.</w:t>
      </w:r>
      <w:proofErr w:type="gramEnd"/>
    </w:p>
  </w:footnote>
  <w:footnote w:id="20">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Id.</w:t>
      </w:r>
      <w:r w:rsidRPr="001948A1">
        <w:rPr>
          <w:rFonts w:ascii="Tahoma" w:hAnsi="Tahoma" w:cs="Tahoma"/>
          <w:szCs w:val="22"/>
        </w:rPr>
        <w:t xml:space="preserve">  </w:t>
      </w:r>
    </w:p>
  </w:footnote>
  <w:footnote w:id="21">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42 U.S.C. §§ 1320a-2 (repeated at § 1320a-10) states:</w:t>
      </w:r>
    </w:p>
    <w:p w:rsidR="007E4F3A" w:rsidRPr="001948A1" w:rsidRDefault="007E4F3A" w:rsidP="001948A1">
      <w:pPr>
        <w:keepLines/>
        <w:spacing w:after="0" w:line="240" w:lineRule="auto"/>
        <w:ind w:left="720"/>
        <w:rPr>
          <w:rFonts w:ascii="Tahoma" w:hAnsi="Tahoma" w:cs="Tahoma"/>
        </w:rPr>
      </w:pPr>
      <w:r w:rsidRPr="001948A1">
        <w:rPr>
          <w:rFonts w:ascii="Tahoma" w:hAnsi="Tahoma" w:cs="Tahoma"/>
        </w:rPr>
        <w:t xml:space="preserve">In an action brought to enforce a provision of the Social Security Act, such provision is not to be deemed unenforceable because of its inclusion in a section of the Act requiring a State plan or specifying the required contents of a State plan.  This section is not intended to limit or expand the grounds for determining the availability of private actions to enforce State plan requirements other than by overturning any such grounds applied in </w:t>
      </w:r>
      <w:proofErr w:type="spellStart"/>
      <w:r w:rsidRPr="001948A1">
        <w:rPr>
          <w:rFonts w:ascii="Tahoma" w:hAnsi="Tahoma" w:cs="Tahoma"/>
          <w:i/>
          <w:iCs/>
        </w:rPr>
        <w:t>Suter</w:t>
      </w:r>
      <w:proofErr w:type="spellEnd"/>
      <w:r w:rsidRPr="001948A1">
        <w:rPr>
          <w:rFonts w:ascii="Tahoma" w:hAnsi="Tahoma" w:cs="Tahoma"/>
          <w:i/>
          <w:iCs/>
        </w:rPr>
        <w:t xml:space="preserve"> v. Artist </w:t>
      </w:r>
      <w:r w:rsidRPr="001948A1">
        <w:rPr>
          <w:rFonts w:ascii="Tahoma" w:hAnsi="Tahoma" w:cs="Tahoma"/>
        </w:rPr>
        <w:t xml:space="preserve">M, 112 </w:t>
      </w:r>
      <w:proofErr w:type="spellStart"/>
      <w:r w:rsidRPr="001948A1">
        <w:rPr>
          <w:rFonts w:ascii="Tahoma" w:hAnsi="Tahoma" w:cs="Tahoma"/>
        </w:rPr>
        <w:t>S.Ct</w:t>
      </w:r>
      <w:proofErr w:type="spellEnd"/>
      <w:r w:rsidRPr="001948A1">
        <w:rPr>
          <w:rFonts w:ascii="Tahoma" w:hAnsi="Tahoma" w:cs="Tahoma"/>
        </w:rPr>
        <w:t xml:space="preserve">. 1360 (1992), but not applied in prior Supreme Court decisions respecting such enforceability; provided, however, that this section is not intended to alter the holding in </w:t>
      </w:r>
      <w:proofErr w:type="spellStart"/>
      <w:r w:rsidRPr="001948A1">
        <w:rPr>
          <w:rFonts w:ascii="Tahoma" w:hAnsi="Tahoma" w:cs="Tahoma"/>
          <w:i/>
          <w:iCs/>
        </w:rPr>
        <w:t>Suter</w:t>
      </w:r>
      <w:proofErr w:type="spellEnd"/>
      <w:r w:rsidRPr="001948A1">
        <w:rPr>
          <w:rFonts w:ascii="Tahoma" w:hAnsi="Tahoma" w:cs="Tahoma"/>
          <w:i/>
          <w:iCs/>
        </w:rPr>
        <w:t xml:space="preserve"> v. Artist M. </w:t>
      </w:r>
      <w:r w:rsidRPr="001948A1">
        <w:rPr>
          <w:rFonts w:ascii="Tahoma" w:hAnsi="Tahoma" w:cs="Tahoma"/>
        </w:rPr>
        <w:t>that section 471(a)(15) of the Act is not enforceable in a private right of action.</w:t>
      </w:r>
    </w:p>
    <w:p w:rsidR="007E4F3A" w:rsidRPr="001948A1" w:rsidRDefault="007E4F3A" w:rsidP="001948A1">
      <w:pPr>
        <w:pStyle w:val="FootnoteText"/>
        <w:rPr>
          <w:rFonts w:ascii="Tahoma" w:hAnsi="Tahoma" w:cs="Tahoma"/>
          <w:szCs w:val="22"/>
        </w:rPr>
      </w:pPr>
      <w:r w:rsidRPr="001948A1">
        <w:rPr>
          <w:rFonts w:ascii="Tahoma" w:hAnsi="Tahoma" w:cs="Tahoma"/>
          <w:szCs w:val="22"/>
        </w:rPr>
        <w:t xml:space="preserve">The amendment overruled parts of </w:t>
      </w:r>
      <w:proofErr w:type="spellStart"/>
      <w:r w:rsidRPr="001948A1">
        <w:rPr>
          <w:rFonts w:ascii="Tahoma" w:hAnsi="Tahoma" w:cs="Tahoma"/>
          <w:i/>
          <w:szCs w:val="22"/>
        </w:rPr>
        <w:t>Suter</w:t>
      </w:r>
      <w:proofErr w:type="spellEnd"/>
      <w:r w:rsidRPr="001948A1">
        <w:rPr>
          <w:rFonts w:ascii="Tahoma" w:hAnsi="Tahoma" w:cs="Tahoma"/>
          <w:i/>
          <w:szCs w:val="22"/>
        </w:rPr>
        <w:t xml:space="preserve"> v. Artist M.,</w:t>
      </w:r>
      <w:r w:rsidRPr="001948A1">
        <w:rPr>
          <w:rFonts w:ascii="Tahoma" w:hAnsi="Tahoma" w:cs="Tahoma"/>
          <w:szCs w:val="22"/>
        </w:rPr>
        <w:t xml:space="preserve"> 503 U.S. 347 (1992), a Social Security Act case which appeared to hold plaintiffs had no enforceable rights so long as the state had a submitted and federally approved plan for implementing the Adoption Assistance and Child Welfare Act.</w:t>
      </w:r>
      <w:r w:rsidRPr="001948A1">
        <w:rPr>
          <w:rFonts w:ascii="Tahoma" w:hAnsi="Tahoma" w:cs="Tahoma"/>
          <w:i/>
          <w:szCs w:val="22"/>
        </w:rPr>
        <w:t xml:space="preserve"> See also</w:t>
      </w:r>
      <w:r w:rsidRPr="001948A1">
        <w:rPr>
          <w:rFonts w:ascii="Tahoma" w:hAnsi="Tahoma" w:cs="Tahoma"/>
          <w:szCs w:val="22"/>
        </w:rPr>
        <w:t xml:space="preserve"> Br. for the United States as Amicus Curiae Supporting Respondents, Blessing v. Freestone, 520 U.S. 329 (1997) (No. 95-1441) (emphasizing that the Court's pre-</w:t>
      </w:r>
      <w:proofErr w:type="spellStart"/>
      <w:r w:rsidRPr="001948A1">
        <w:rPr>
          <w:rFonts w:ascii="Tahoma" w:hAnsi="Tahoma" w:cs="Tahoma"/>
          <w:i/>
          <w:szCs w:val="22"/>
        </w:rPr>
        <w:t>Suter</w:t>
      </w:r>
      <w:proofErr w:type="spellEnd"/>
      <w:r w:rsidRPr="001948A1">
        <w:rPr>
          <w:rFonts w:ascii="Tahoma" w:hAnsi="Tahoma" w:cs="Tahoma"/>
          <w:szCs w:val="22"/>
        </w:rPr>
        <w:t xml:space="preserve"> precedents must continue to govern the availability of suits under </w:t>
      </w:r>
      <w:hyperlink r:id="rId1" w:history="1">
        <w:r w:rsidRPr="001948A1">
          <w:rPr>
            <w:rFonts w:ascii="Tahoma" w:hAnsi="Tahoma" w:cs="Tahoma"/>
            <w:szCs w:val="22"/>
            <w:u w:color="0E16F8"/>
          </w:rPr>
          <w:t>§ 1983</w:t>
        </w:r>
      </w:hyperlink>
      <w:r w:rsidRPr="001948A1">
        <w:rPr>
          <w:rFonts w:ascii="Tahoma" w:hAnsi="Tahoma" w:cs="Tahoma"/>
          <w:szCs w:val="22"/>
        </w:rPr>
        <w:t xml:space="preserve"> to enforce provisions of the Social Security Act).</w:t>
      </w:r>
    </w:p>
  </w:footnote>
  <w:footnote w:id="22">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iCs/>
          <w:szCs w:val="22"/>
        </w:rPr>
        <w:t>Compare</w:t>
      </w:r>
      <w:r w:rsidRPr="001948A1">
        <w:rPr>
          <w:rFonts w:ascii="Tahoma" w:hAnsi="Tahoma" w:cs="Tahoma"/>
          <w:szCs w:val="22"/>
        </w:rPr>
        <w:t xml:space="preserve"> </w:t>
      </w:r>
      <w:r w:rsidRPr="001948A1">
        <w:rPr>
          <w:rFonts w:ascii="Tahoma" w:hAnsi="Tahoma" w:cs="Tahoma"/>
          <w:i/>
          <w:iCs/>
          <w:szCs w:val="22"/>
        </w:rPr>
        <w:t>Rabin v. Wilson-Coker,</w:t>
      </w:r>
      <w:r w:rsidRPr="001948A1">
        <w:rPr>
          <w:rFonts w:ascii="Tahoma" w:hAnsi="Tahoma" w:cs="Tahoma"/>
          <w:szCs w:val="22"/>
        </w:rPr>
        <w:t xml:space="preserve"> 362 F.3d 190 (2d Cir. 2004) (citing § 1320a-2 to allow beneficiaries to enforce a Medicaid Act provision); </w:t>
      </w:r>
      <w:r w:rsidRPr="001948A1">
        <w:rPr>
          <w:rFonts w:ascii="Tahoma" w:hAnsi="Tahoma" w:cs="Tahoma"/>
          <w:i/>
          <w:iCs/>
          <w:szCs w:val="22"/>
        </w:rPr>
        <w:t>S.D. v. Hood</w:t>
      </w:r>
      <w:r w:rsidRPr="001948A1">
        <w:rPr>
          <w:rFonts w:ascii="Tahoma" w:hAnsi="Tahoma" w:cs="Tahoma"/>
          <w:szCs w:val="22"/>
        </w:rPr>
        <w:t xml:space="preserve">, 391 F.3d 581, 603 (5th Cir. 2004) (same) </w:t>
      </w:r>
      <w:r w:rsidRPr="001948A1">
        <w:rPr>
          <w:rFonts w:ascii="Tahoma" w:hAnsi="Tahoma" w:cs="Tahoma"/>
          <w:i/>
          <w:iCs/>
          <w:szCs w:val="22"/>
        </w:rPr>
        <w:t>with</w:t>
      </w:r>
      <w:r w:rsidRPr="001948A1">
        <w:rPr>
          <w:rFonts w:ascii="Tahoma" w:hAnsi="Tahoma" w:cs="Tahoma"/>
          <w:szCs w:val="22"/>
        </w:rPr>
        <w:t xml:space="preserve"> </w:t>
      </w:r>
      <w:r w:rsidRPr="001948A1">
        <w:rPr>
          <w:rFonts w:ascii="Tahoma" w:hAnsi="Tahoma" w:cs="Tahoma"/>
          <w:i/>
          <w:iCs/>
          <w:szCs w:val="22"/>
        </w:rPr>
        <w:t>Sanchez v. Johnson</w:t>
      </w:r>
      <w:r w:rsidRPr="001948A1">
        <w:rPr>
          <w:rFonts w:ascii="Tahoma" w:hAnsi="Tahoma" w:cs="Tahoma"/>
          <w:szCs w:val="22"/>
        </w:rPr>
        <w:t>, 416 F. 3d 1051, 1057 (9th Cir. 2005).</w:t>
      </w:r>
    </w:p>
  </w:footnote>
  <w:footnote w:id="23">
    <w:p w:rsidR="007E4F3A" w:rsidRPr="001948A1" w:rsidRDefault="007E4F3A" w:rsidP="001948A1">
      <w:pPr>
        <w:pStyle w:val="FootnoteText"/>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i/>
          <w:iCs/>
          <w:szCs w:val="22"/>
        </w:rPr>
        <w:t>Sanchez</w:t>
      </w:r>
      <w:r w:rsidRPr="001948A1">
        <w:rPr>
          <w:rFonts w:ascii="Tahoma" w:hAnsi="Tahoma" w:cs="Tahoma"/>
          <w:szCs w:val="22"/>
        </w:rPr>
        <w:t>, 416 F. 3d at 1057.</w:t>
      </w:r>
      <w:proofErr w:type="gramEnd"/>
    </w:p>
  </w:footnote>
  <w:footnote w:id="24">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 xml:space="preserve">Id. </w:t>
      </w:r>
      <w:r w:rsidRPr="001948A1">
        <w:rPr>
          <w:rFonts w:ascii="Tahoma" w:hAnsi="Tahoma" w:cs="Tahoma"/>
          <w:szCs w:val="22"/>
        </w:rPr>
        <w:t xml:space="preserve">at 1057 n.5 (citing </w:t>
      </w:r>
      <w:proofErr w:type="spellStart"/>
      <w:r w:rsidRPr="001948A1">
        <w:rPr>
          <w:rFonts w:ascii="Tahoma" w:hAnsi="Tahoma" w:cs="Tahoma"/>
          <w:i/>
          <w:szCs w:val="22"/>
        </w:rPr>
        <w:t>Pennhurst</w:t>
      </w:r>
      <w:proofErr w:type="spellEnd"/>
      <w:r w:rsidRPr="001948A1">
        <w:rPr>
          <w:rFonts w:ascii="Tahoma" w:hAnsi="Tahoma" w:cs="Tahoma"/>
          <w:i/>
          <w:szCs w:val="22"/>
        </w:rPr>
        <w:t xml:space="preserve">, </w:t>
      </w:r>
      <w:r w:rsidRPr="001948A1">
        <w:rPr>
          <w:rFonts w:ascii="Tahoma" w:hAnsi="Tahoma" w:cs="Tahoma"/>
          <w:szCs w:val="22"/>
        </w:rPr>
        <w:t>451 U.S. 1, 28 (1981)).</w:t>
      </w:r>
    </w:p>
  </w:footnote>
  <w:footnote w:id="25">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See</w:t>
      </w:r>
      <w:r w:rsidRPr="001948A1">
        <w:rPr>
          <w:rFonts w:ascii="Tahoma" w:hAnsi="Tahoma" w:cs="Tahoma"/>
          <w:szCs w:val="22"/>
        </w:rPr>
        <w:t xml:space="preserve"> H.R. Rep. No. 103-761, at 819 (1994) (Conf. Rep.) (“The intent of this provision is to assure that individuals who have been injured by a State's failure to comply with the Federal mandates of the State plan titles of the Social Security Act are able to seek redress in the federal courts to the extent they were able to prior to the decision in </w:t>
      </w:r>
      <w:proofErr w:type="spellStart"/>
      <w:r w:rsidRPr="001948A1">
        <w:rPr>
          <w:rFonts w:ascii="Tahoma" w:hAnsi="Tahoma" w:cs="Tahoma"/>
          <w:szCs w:val="22"/>
        </w:rPr>
        <w:t>Suter</w:t>
      </w:r>
      <w:proofErr w:type="spellEnd"/>
      <w:r w:rsidRPr="001948A1">
        <w:rPr>
          <w:rFonts w:ascii="Tahoma" w:hAnsi="Tahoma" w:cs="Tahoma"/>
          <w:szCs w:val="22"/>
        </w:rPr>
        <w:t xml:space="preserve"> v. Artist M</w:t>
      </w:r>
      <w:r w:rsidR="001948A1">
        <w:rPr>
          <w:rFonts w:ascii="Tahoma" w:hAnsi="Tahoma" w:cs="Tahoma"/>
          <w:szCs w:val="22"/>
        </w:rPr>
        <w:t>.</w:t>
      </w:r>
      <w:r w:rsidRPr="001948A1">
        <w:rPr>
          <w:rFonts w:ascii="Tahoma" w:hAnsi="Tahoma" w:cs="Tahoma"/>
          <w:szCs w:val="22"/>
        </w:rPr>
        <w:t>....”).</w:t>
      </w:r>
    </w:p>
  </w:footnote>
  <w:footnote w:id="26">
    <w:p w:rsidR="007E4F3A" w:rsidRPr="001948A1" w:rsidRDefault="007E4F3A" w:rsidP="001948A1">
      <w:pPr>
        <w:pStyle w:val="FootnoteText"/>
        <w:keepLines/>
        <w:rPr>
          <w:rFonts w:ascii="Tahoma" w:hAnsi="Tahoma" w:cs="Tahoma"/>
          <w:i/>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i/>
          <w:szCs w:val="22"/>
        </w:rPr>
        <w:t xml:space="preserve">Douglas v. </w:t>
      </w:r>
      <w:proofErr w:type="spellStart"/>
      <w:r w:rsidRPr="001948A1">
        <w:rPr>
          <w:rFonts w:ascii="Tahoma" w:hAnsi="Tahoma" w:cs="Tahoma"/>
          <w:i/>
          <w:szCs w:val="22"/>
        </w:rPr>
        <w:t>Indep</w:t>
      </w:r>
      <w:proofErr w:type="spellEnd"/>
      <w:r w:rsidRPr="001948A1">
        <w:rPr>
          <w:rFonts w:ascii="Tahoma" w:hAnsi="Tahoma" w:cs="Tahoma"/>
          <w:i/>
          <w:szCs w:val="22"/>
        </w:rPr>
        <w:t>.</w:t>
      </w:r>
      <w:proofErr w:type="gramEnd"/>
      <w:r w:rsidRPr="001948A1">
        <w:rPr>
          <w:rFonts w:ascii="Tahoma" w:hAnsi="Tahoma" w:cs="Tahoma"/>
          <w:i/>
          <w:szCs w:val="22"/>
        </w:rPr>
        <w:t xml:space="preserve"> </w:t>
      </w:r>
      <w:proofErr w:type="gramStart"/>
      <w:r w:rsidRPr="001948A1">
        <w:rPr>
          <w:rFonts w:ascii="Tahoma" w:hAnsi="Tahoma" w:cs="Tahoma"/>
          <w:i/>
          <w:szCs w:val="22"/>
        </w:rPr>
        <w:t>Living Ctr. of S. Cal.</w:t>
      </w:r>
      <w:r w:rsidRPr="001948A1">
        <w:rPr>
          <w:rFonts w:ascii="Tahoma" w:hAnsi="Tahoma" w:cs="Tahoma"/>
          <w:szCs w:val="22"/>
        </w:rPr>
        <w:t xml:space="preserve">, 132 </w:t>
      </w:r>
      <w:proofErr w:type="spellStart"/>
      <w:r w:rsidRPr="001948A1">
        <w:rPr>
          <w:rFonts w:ascii="Tahoma" w:hAnsi="Tahoma" w:cs="Tahoma"/>
          <w:szCs w:val="22"/>
        </w:rPr>
        <w:t>S.Ct</w:t>
      </w:r>
      <w:proofErr w:type="spellEnd"/>
      <w:r w:rsidRPr="001948A1">
        <w:rPr>
          <w:rFonts w:ascii="Tahoma" w:hAnsi="Tahoma" w:cs="Tahoma"/>
          <w:szCs w:val="22"/>
        </w:rPr>
        <w:t>. 1204, 1210 (2012).</w:t>
      </w:r>
      <w:proofErr w:type="gramEnd"/>
      <w:r w:rsidRPr="001948A1">
        <w:rPr>
          <w:rFonts w:ascii="Tahoma" w:hAnsi="Tahoma" w:cs="Tahoma"/>
          <w:szCs w:val="22"/>
        </w:rPr>
        <w:t xml:space="preserve"> In </w:t>
      </w:r>
      <w:r w:rsidRPr="001948A1">
        <w:rPr>
          <w:rFonts w:ascii="Tahoma" w:hAnsi="Tahoma" w:cs="Tahoma"/>
          <w:i/>
          <w:szCs w:val="22"/>
        </w:rPr>
        <w:t>Douglas</w:t>
      </w:r>
      <w:r w:rsidRPr="001948A1">
        <w:rPr>
          <w:rFonts w:ascii="Tahoma" w:hAnsi="Tahoma" w:cs="Tahoma"/>
          <w:szCs w:val="22"/>
        </w:rPr>
        <w:t xml:space="preserve">, the plaintiffs brought a Supremacy Clause claim to enjoin state policies that were arguably inconsistent with § </w:t>
      </w:r>
      <w:proofErr w:type="gramStart"/>
      <w:r w:rsidRPr="001948A1">
        <w:rPr>
          <w:rFonts w:ascii="Tahoma" w:hAnsi="Tahoma" w:cs="Tahoma"/>
          <w:szCs w:val="22"/>
        </w:rPr>
        <w:t>1396a(</w:t>
      </w:r>
      <w:proofErr w:type="gramEnd"/>
      <w:r w:rsidRPr="001948A1">
        <w:rPr>
          <w:rFonts w:ascii="Tahoma" w:hAnsi="Tahoma" w:cs="Tahoma"/>
          <w:szCs w:val="22"/>
        </w:rPr>
        <w:t xml:space="preserve">a)(30)(A). After oral argument in the Supreme Court, the federal agency approved the state’s payments. The </w:t>
      </w:r>
      <w:r w:rsidRPr="001948A1">
        <w:rPr>
          <w:rFonts w:ascii="Tahoma" w:hAnsi="Tahoma" w:cs="Tahoma"/>
          <w:i/>
          <w:szCs w:val="22"/>
        </w:rPr>
        <w:t xml:space="preserve">Douglas </w:t>
      </w:r>
      <w:r w:rsidRPr="001948A1">
        <w:rPr>
          <w:rFonts w:ascii="Tahoma" w:hAnsi="Tahoma" w:cs="Tahoma"/>
          <w:szCs w:val="22"/>
        </w:rPr>
        <w:t xml:space="preserve">majority vacated the lower court decisions and remanded the case for a determination of whether plaintiffs could amend to bring an action under the APA against the federal agency (which was not a party in the Supremacy Clause action). For additional discussion, </w:t>
      </w:r>
      <w:r w:rsidRPr="001948A1">
        <w:rPr>
          <w:rFonts w:ascii="Tahoma" w:hAnsi="Tahoma" w:cs="Tahoma"/>
          <w:i/>
          <w:szCs w:val="22"/>
        </w:rPr>
        <w:t>see</w:t>
      </w:r>
      <w:r w:rsidRPr="001948A1">
        <w:rPr>
          <w:rFonts w:ascii="Tahoma" w:hAnsi="Tahoma" w:cs="Tahoma"/>
          <w:szCs w:val="22"/>
        </w:rPr>
        <w:t xml:space="preserve"> Rochelle Bobroff, </w:t>
      </w:r>
      <w:r w:rsidRPr="001948A1">
        <w:rPr>
          <w:rFonts w:ascii="Tahoma" w:hAnsi="Tahoma" w:cs="Tahoma"/>
          <w:i/>
          <w:szCs w:val="22"/>
        </w:rPr>
        <w:t>Medicaid Preemption Remedy Survives Supreme Court Challenge</w:t>
      </w:r>
      <w:r w:rsidRPr="001948A1">
        <w:rPr>
          <w:rFonts w:ascii="Tahoma" w:hAnsi="Tahoma" w:cs="Tahoma"/>
          <w:szCs w:val="22"/>
        </w:rPr>
        <w:t xml:space="preserve">, </w:t>
      </w:r>
      <w:proofErr w:type="gramStart"/>
      <w:r w:rsidRPr="001948A1">
        <w:rPr>
          <w:rFonts w:ascii="Tahoma" w:hAnsi="Tahoma" w:cs="Tahoma"/>
          <w:szCs w:val="22"/>
        </w:rPr>
        <w:t>45</w:t>
      </w:r>
      <w:proofErr w:type="gramEnd"/>
      <w:r w:rsidRPr="001948A1">
        <w:rPr>
          <w:rFonts w:ascii="Tahoma" w:hAnsi="Tahoma" w:cs="Tahoma"/>
          <w:szCs w:val="22"/>
        </w:rPr>
        <w:t xml:space="preserve"> </w:t>
      </w:r>
      <w:r w:rsidRPr="001948A1">
        <w:rPr>
          <w:rFonts w:ascii="Tahoma" w:hAnsi="Tahoma" w:cs="Tahoma"/>
          <w:smallCaps/>
          <w:szCs w:val="22"/>
        </w:rPr>
        <w:t xml:space="preserve">Clearinghouse Rev. </w:t>
      </w:r>
      <w:r w:rsidRPr="001948A1">
        <w:rPr>
          <w:rFonts w:ascii="Tahoma" w:hAnsi="Tahoma" w:cs="Tahoma"/>
          <w:szCs w:val="22"/>
        </w:rPr>
        <w:t>35 (May-June 2012).</w:t>
      </w:r>
    </w:p>
  </w:footnote>
  <w:footnote w:id="27">
    <w:p w:rsidR="007E4F3A" w:rsidRPr="001948A1" w:rsidRDefault="007E4F3A" w:rsidP="001948A1">
      <w:pPr>
        <w:pStyle w:val="FootnoteText"/>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gramStart"/>
      <w:r w:rsidRPr="001948A1">
        <w:rPr>
          <w:rFonts w:ascii="Tahoma" w:hAnsi="Tahoma" w:cs="Tahoma"/>
          <w:szCs w:val="22"/>
        </w:rPr>
        <w:t xml:space="preserve">132 </w:t>
      </w:r>
      <w:proofErr w:type="spellStart"/>
      <w:r w:rsidRPr="001948A1">
        <w:rPr>
          <w:rFonts w:ascii="Tahoma" w:hAnsi="Tahoma" w:cs="Tahoma"/>
          <w:szCs w:val="22"/>
        </w:rPr>
        <w:t>S.Ct</w:t>
      </w:r>
      <w:proofErr w:type="spellEnd"/>
      <w:r w:rsidRPr="001948A1">
        <w:rPr>
          <w:rFonts w:ascii="Tahoma" w:hAnsi="Tahoma" w:cs="Tahoma"/>
          <w:szCs w:val="22"/>
        </w:rPr>
        <w:t>. at 1213 (Roberts, C.J., dissenting).</w:t>
      </w:r>
      <w:proofErr w:type="gramEnd"/>
    </w:p>
  </w:footnote>
  <w:footnote w:id="28">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A Medicaid § 1983 case pending before the D.C. Circuit Court of Appeal was dismissed as an improper interlocutory appeal.  </w:t>
      </w:r>
      <w:r w:rsidRPr="001948A1">
        <w:rPr>
          <w:rFonts w:ascii="Tahoma" w:hAnsi="Tahoma" w:cs="Tahoma"/>
          <w:i/>
          <w:szCs w:val="22"/>
        </w:rPr>
        <w:t>See Salazar v. D.C.</w:t>
      </w:r>
      <w:r w:rsidRPr="001948A1">
        <w:rPr>
          <w:rFonts w:ascii="Tahoma" w:hAnsi="Tahoma" w:cs="Tahoma"/>
          <w:szCs w:val="22"/>
        </w:rPr>
        <w:t xml:space="preserve">, </w:t>
      </w:r>
      <w:proofErr w:type="gramStart"/>
      <w:r w:rsidRPr="001948A1">
        <w:rPr>
          <w:rFonts w:ascii="Tahoma" w:hAnsi="Tahoma" w:cs="Tahoma"/>
          <w:szCs w:val="22"/>
        </w:rPr>
        <w:t>671 F.3d 1258</w:t>
      </w:r>
      <w:proofErr w:type="gramEnd"/>
      <w:r w:rsidRPr="001948A1">
        <w:rPr>
          <w:rFonts w:ascii="Tahoma" w:hAnsi="Tahoma" w:cs="Tahoma"/>
          <w:szCs w:val="22"/>
        </w:rPr>
        <w:t xml:space="preserve"> (D.C. Cir. 2012).    </w:t>
      </w:r>
    </w:p>
  </w:footnote>
  <w:footnote w:id="29">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See, e.g.</w:t>
      </w:r>
      <w:r w:rsidRPr="001948A1">
        <w:rPr>
          <w:rFonts w:ascii="Tahoma" w:hAnsi="Tahoma" w:cs="Tahoma"/>
          <w:szCs w:val="22"/>
        </w:rPr>
        <w:t xml:space="preserve">, </w:t>
      </w:r>
      <w:r w:rsidRPr="001948A1">
        <w:rPr>
          <w:rFonts w:ascii="Tahoma" w:hAnsi="Tahoma" w:cs="Tahoma"/>
          <w:i/>
          <w:iCs/>
          <w:szCs w:val="22"/>
        </w:rPr>
        <w:t>Blessing</w:t>
      </w:r>
      <w:r w:rsidRPr="001948A1">
        <w:rPr>
          <w:rFonts w:ascii="Tahoma" w:hAnsi="Tahoma" w:cs="Tahoma"/>
          <w:szCs w:val="22"/>
        </w:rPr>
        <w:t xml:space="preserve">, 520 U.S. at 342 (“Only when the complaint is broken down into </w:t>
      </w:r>
      <w:bookmarkStart w:id="1" w:name="SDU_31"/>
      <w:bookmarkStart w:id="2" w:name="SearchTerm"/>
      <w:bookmarkEnd w:id="1"/>
      <w:bookmarkEnd w:id="2"/>
      <w:r w:rsidRPr="001948A1">
        <w:rPr>
          <w:rFonts w:ascii="Tahoma" w:hAnsi="Tahoma" w:cs="Tahoma"/>
          <w:szCs w:val="22"/>
        </w:rPr>
        <w:t>manageable analytic</w:t>
      </w:r>
      <w:bookmarkStart w:id="3" w:name="SR_59_6127"/>
      <w:bookmarkEnd w:id="3"/>
      <w:r w:rsidRPr="001948A1">
        <w:rPr>
          <w:rFonts w:ascii="Tahoma" w:hAnsi="Tahoma" w:cs="Tahoma"/>
          <w:szCs w:val="22"/>
        </w:rPr>
        <w:t xml:space="preserve"> bites can a court ascertain whether each separate claim satisfies the various criteria we have set forth for determining whether a federal statute creates rights.”).</w:t>
      </w:r>
    </w:p>
  </w:footnote>
  <w:footnote w:id="30">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A decision from the Eighth Circuit that allowed private enforcement based on previously controlling circuit precedent was vacated by the Supreme Court. </w:t>
      </w:r>
      <w:r w:rsidRPr="001948A1">
        <w:rPr>
          <w:rFonts w:ascii="Tahoma" w:hAnsi="Tahoma" w:cs="Tahoma"/>
          <w:i/>
          <w:szCs w:val="22"/>
        </w:rPr>
        <w:t xml:space="preserve">See </w:t>
      </w:r>
      <w:proofErr w:type="spellStart"/>
      <w:r w:rsidRPr="001948A1">
        <w:rPr>
          <w:rFonts w:ascii="Tahoma" w:hAnsi="Tahoma" w:cs="Tahoma"/>
          <w:i/>
          <w:szCs w:val="22"/>
        </w:rPr>
        <w:t>Ped</w:t>
      </w:r>
      <w:proofErr w:type="spellEnd"/>
      <w:r w:rsidRPr="001948A1">
        <w:rPr>
          <w:rFonts w:ascii="Tahoma" w:hAnsi="Tahoma" w:cs="Tahoma"/>
          <w:i/>
          <w:szCs w:val="22"/>
        </w:rPr>
        <w:t xml:space="preserve">. </w:t>
      </w:r>
      <w:proofErr w:type="gramStart"/>
      <w:r w:rsidRPr="001948A1">
        <w:rPr>
          <w:rFonts w:ascii="Tahoma" w:hAnsi="Tahoma" w:cs="Tahoma"/>
          <w:i/>
          <w:szCs w:val="22"/>
        </w:rPr>
        <w:t xml:space="preserve">Specialty Care v. Ark. Dep’t of Human </w:t>
      </w:r>
      <w:proofErr w:type="spellStart"/>
      <w:r w:rsidRPr="001948A1">
        <w:rPr>
          <w:rFonts w:ascii="Tahoma" w:hAnsi="Tahoma" w:cs="Tahoma"/>
          <w:i/>
          <w:szCs w:val="22"/>
        </w:rPr>
        <w:t>Servs</w:t>
      </w:r>
      <w:proofErr w:type="spellEnd"/>
      <w:r w:rsidRPr="001948A1">
        <w:rPr>
          <w:rFonts w:ascii="Tahoma" w:hAnsi="Tahoma" w:cs="Tahoma"/>
          <w:i/>
          <w:szCs w:val="22"/>
        </w:rPr>
        <w:t>.</w:t>
      </w:r>
      <w:r w:rsidRPr="001948A1">
        <w:rPr>
          <w:rFonts w:ascii="Tahoma" w:hAnsi="Tahoma" w:cs="Tahoma"/>
          <w:szCs w:val="22"/>
        </w:rPr>
        <w:t xml:space="preserve">, 443 F.3d 1015 (8th Cir. 2006), </w:t>
      </w:r>
      <w:r w:rsidRPr="001948A1">
        <w:rPr>
          <w:rFonts w:ascii="Tahoma" w:hAnsi="Tahoma" w:cs="Tahoma"/>
          <w:i/>
          <w:szCs w:val="22"/>
        </w:rPr>
        <w:t xml:space="preserve">vacated on other grounds by Selig v. </w:t>
      </w:r>
      <w:proofErr w:type="spellStart"/>
      <w:r w:rsidRPr="001948A1">
        <w:rPr>
          <w:rFonts w:ascii="Tahoma" w:hAnsi="Tahoma" w:cs="Tahoma"/>
          <w:i/>
          <w:szCs w:val="22"/>
        </w:rPr>
        <w:t>Ped</w:t>
      </w:r>
      <w:proofErr w:type="spellEnd"/>
      <w:r w:rsidRPr="001948A1">
        <w:rPr>
          <w:rFonts w:ascii="Tahoma" w:hAnsi="Tahoma" w:cs="Tahoma"/>
          <w:i/>
          <w:szCs w:val="22"/>
        </w:rPr>
        <w:t>.</w:t>
      </w:r>
      <w:proofErr w:type="gramEnd"/>
      <w:r w:rsidRPr="001948A1">
        <w:rPr>
          <w:rFonts w:ascii="Tahoma" w:hAnsi="Tahoma" w:cs="Tahoma"/>
          <w:i/>
          <w:szCs w:val="22"/>
        </w:rPr>
        <w:t xml:space="preserve"> </w:t>
      </w:r>
      <w:proofErr w:type="gramStart"/>
      <w:r w:rsidRPr="001948A1">
        <w:rPr>
          <w:rFonts w:ascii="Tahoma" w:hAnsi="Tahoma" w:cs="Tahoma"/>
          <w:i/>
          <w:szCs w:val="22"/>
        </w:rPr>
        <w:t>Specialty Care</w:t>
      </w:r>
      <w:r w:rsidRPr="001948A1">
        <w:rPr>
          <w:rFonts w:ascii="Tahoma" w:hAnsi="Tahoma" w:cs="Tahoma"/>
          <w:szCs w:val="22"/>
        </w:rPr>
        <w:t>, 551 U.S. 142 (2007).</w:t>
      </w:r>
      <w:proofErr w:type="gramEnd"/>
      <w:r w:rsidRPr="001948A1">
        <w:rPr>
          <w:rFonts w:ascii="Tahoma" w:hAnsi="Tahoma" w:cs="Tahoma"/>
          <w:szCs w:val="22"/>
        </w:rPr>
        <w:t xml:space="preserve"> A decision from the Third Circuit came slightly ahead of </w:t>
      </w:r>
      <w:r w:rsidRPr="001948A1">
        <w:rPr>
          <w:rFonts w:ascii="Tahoma" w:hAnsi="Tahoma" w:cs="Tahoma"/>
          <w:i/>
          <w:szCs w:val="22"/>
        </w:rPr>
        <w:t>Gonzaga</w:t>
      </w:r>
      <w:r w:rsidRPr="001948A1">
        <w:rPr>
          <w:rFonts w:ascii="Tahoma" w:hAnsi="Tahoma" w:cs="Tahoma"/>
          <w:szCs w:val="22"/>
        </w:rPr>
        <w:t xml:space="preserve">, applying an analysis remarkably similar to what </w:t>
      </w:r>
      <w:r w:rsidRPr="001948A1">
        <w:rPr>
          <w:rFonts w:ascii="Tahoma" w:hAnsi="Tahoma" w:cs="Tahoma"/>
          <w:i/>
          <w:szCs w:val="22"/>
        </w:rPr>
        <w:t xml:space="preserve">Gonzaga </w:t>
      </w:r>
      <w:r w:rsidRPr="001948A1">
        <w:rPr>
          <w:rFonts w:ascii="Tahoma" w:hAnsi="Tahoma" w:cs="Tahoma"/>
          <w:szCs w:val="22"/>
        </w:rPr>
        <w:t xml:space="preserve">would eventually hold. </w:t>
      </w:r>
      <w:r w:rsidRPr="001948A1">
        <w:rPr>
          <w:rFonts w:ascii="Tahoma" w:hAnsi="Tahoma" w:cs="Tahoma"/>
          <w:i/>
          <w:szCs w:val="22"/>
        </w:rPr>
        <w:t xml:space="preserve">See Pa. Pharm. </w:t>
      </w:r>
      <w:proofErr w:type="spellStart"/>
      <w:r w:rsidRPr="001948A1">
        <w:rPr>
          <w:rFonts w:ascii="Tahoma" w:hAnsi="Tahoma" w:cs="Tahoma"/>
          <w:i/>
          <w:szCs w:val="22"/>
        </w:rPr>
        <w:t>Ass’n</w:t>
      </w:r>
      <w:proofErr w:type="spellEnd"/>
      <w:r w:rsidRPr="001948A1">
        <w:rPr>
          <w:rFonts w:ascii="Tahoma" w:hAnsi="Tahoma" w:cs="Tahoma"/>
          <w:i/>
          <w:szCs w:val="22"/>
        </w:rPr>
        <w:t xml:space="preserve"> v. </w:t>
      </w:r>
      <w:proofErr w:type="spellStart"/>
      <w:r w:rsidRPr="001948A1">
        <w:rPr>
          <w:rFonts w:ascii="Tahoma" w:hAnsi="Tahoma" w:cs="Tahoma"/>
          <w:i/>
          <w:szCs w:val="22"/>
        </w:rPr>
        <w:t>Houstoun</w:t>
      </w:r>
      <w:proofErr w:type="spellEnd"/>
      <w:r w:rsidRPr="001948A1">
        <w:rPr>
          <w:rFonts w:ascii="Tahoma" w:hAnsi="Tahoma" w:cs="Tahoma"/>
          <w:szCs w:val="22"/>
        </w:rPr>
        <w:t xml:space="preserve">, </w:t>
      </w:r>
      <w:proofErr w:type="gramStart"/>
      <w:r w:rsidRPr="001948A1">
        <w:rPr>
          <w:rFonts w:ascii="Tahoma" w:hAnsi="Tahoma" w:cs="Tahoma"/>
          <w:szCs w:val="22"/>
        </w:rPr>
        <w:t>283 F.3d 551</w:t>
      </w:r>
      <w:proofErr w:type="gramEnd"/>
      <w:r w:rsidRPr="001948A1">
        <w:rPr>
          <w:rFonts w:ascii="Tahoma" w:hAnsi="Tahoma" w:cs="Tahoma"/>
          <w:szCs w:val="22"/>
        </w:rPr>
        <w:t xml:space="preserve"> (3d Cir. 2002).</w:t>
      </w:r>
    </w:p>
  </w:footnote>
  <w:footnote w:id="31">
    <w:p w:rsidR="001948A1" w:rsidRPr="001948A1" w:rsidRDefault="001948A1" w:rsidP="001948A1">
      <w:pPr>
        <w:pStyle w:val="FootnoteText"/>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In </w:t>
      </w:r>
      <w:r w:rsidRPr="001948A1">
        <w:rPr>
          <w:rFonts w:ascii="Tahoma" w:hAnsi="Tahoma" w:cs="Tahoma"/>
          <w:i/>
          <w:szCs w:val="22"/>
        </w:rPr>
        <w:t xml:space="preserve">John B. v. </w:t>
      </w:r>
      <w:proofErr w:type="spellStart"/>
      <w:r w:rsidRPr="001948A1">
        <w:rPr>
          <w:rFonts w:ascii="Tahoma" w:hAnsi="Tahoma" w:cs="Tahoma"/>
          <w:i/>
          <w:szCs w:val="22"/>
        </w:rPr>
        <w:t>Emkes</w:t>
      </w:r>
      <w:proofErr w:type="spellEnd"/>
      <w:r w:rsidRPr="001948A1">
        <w:rPr>
          <w:rFonts w:ascii="Tahoma" w:hAnsi="Tahoma" w:cs="Tahoma"/>
          <w:szCs w:val="22"/>
        </w:rPr>
        <w:t xml:space="preserve">, 710 F.3d 394 (6th Cir. 2013), the Sixth Circuit affirmed a district court decision that held §§ </w:t>
      </w:r>
      <w:proofErr w:type="gramStart"/>
      <w:r w:rsidRPr="001948A1">
        <w:rPr>
          <w:rFonts w:ascii="Tahoma" w:hAnsi="Tahoma" w:cs="Tahoma"/>
          <w:szCs w:val="22"/>
        </w:rPr>
        <w:t>1396a(</w:t>
      </w:r>
      <w:proofErr w:type="gramEnd"/>
      <w:r w:rsidRPr="001948A1">
        <w:rPr>
          <w:rFonts w:ascii="Tahoma" w:hAnsi="Tahoma" w:cs="Tahoma"/>
          <w:szCs w:val="22"/>
        </w:rPr>
        <w:t>a)(43)(B) and (C) to be privately enforceable but not an implementing regulation, 42 C.F.R. § 441.61(c) (requiring the state to work with other entities to implement EPSDT fully).</w:t>
      </w:r>
    </w:p>
  </w:footnote>
  <w:footnote w:id="32">
    <w:p w:rsidR="007E4F3A" w:rsidRPr="001948A1" w:rsidRDefault="007E4F3A" w:rsidP="001948A1">
      <w:pPr>
        <w:pStyle w:val="FootnoteText"/>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iCs/>
          <w:szCs w:val="22"/>
        </w:rPr>
        <w:t>Gonzaga</w:t>
      </w:r>
      <w:r w:rsidRPr="001948A1">
        <w:rPr>
          <w:rFonts w:ascii="Tahoma" w:hAnsi="Tahoma" w:cs="Tahoma"/>
          <w:szCs w:val="22"/>
        </w:rPr>
        <w:t xml:space="preserve"> and another decision, </w:t>
      </w:r>
      <w:r w:rsidRPr="001948A1">
        <w:rPr>
          <w:rFonts w:ascii="Tahoma" w:hAnsi="Tahoma" w:cs="Tahoma"/>
          <w:i/>
          <w:szCs w:val="22"/>
        </w:rPr>
        <w:t>Alexander v. Sandoval,</w:t>
      </w:r>
      <w:r w:rsidRPr="001948A1">
        <w:rPr>
          <w:rFonts w:ascii="Tahoma" w:hAnsi="Tahoma" w:cs="Tahoma"/>
          <w:szCs w:val="22"/>
        </w:rPr>
        <w:t xml:space="preserve"> 532 U.S. 275 (2001), have caused lower courts to revisit the question of whether federal regulations can independently create rights under § 1983, and the clear trend is that they cannot. </w:t>
      </w:r>
      <w:r w:rsidRPr="001948A1">
        <w:rPr>
          <w:rFonts w:ascii="Tahoma" w:hAnsi="Tahoma" w:cs="Tahoma"/>
          <w:i/>
          <w:szCs w:val="22"/>
        </w:rPr>
        <w:t>See, e.g., Price v. Stockton</w:t>
      </w:r>
      <w:r w:rsidRPr="001948A1">
        <w:rPr>
          <w:rFonts w:ascii="Tahoma" w:hAnsi="Tahoma" w:cs="Tahoma"/>
          <w:szCs w:val="22"/>
        </w:rPr>
        <w:t xml:space="preserve">, 390 F.3d 1105, 1112 n.6 (9th Cir. 2004) (“It is well settled that regulations </w:t>
      </w:r>
      <w:r w:rsidRPr="001948A1">
        <w:rPr>
          <w:rFonts w:ascii="Tahoma" w:hAnsi="Tahoma" w:cs="Tahoma"/>
          <w:i/>
          <w:iCs/>
          <w:szCs w:val="22"/>
        </w:rPr>
        <w:t>alone</w:t>
      </w:r>
      <w:r w:rsidRPr="001948A1">
        <w:rPr>
          <w:rFonts w:ascii="Tahoma" w:hAnsi="Tahoma" w:cs="Tahoma"/>
          <w:szCs w:val="22"/>
        </w:rPr>
        <w:t xml:space="preserve"> cannot create rights ... however, regulations ‘may be relevant in determining the scope of the right conferred by Congress’ and ‘therefore may be considered in applying the three-prong </w:t>
      </w:r>
      <w:r w:rsidRPr="001948A1">
        <w:rPr>
          <w:rFonts w:ascii="Tahoma" w:hAnsi="Tahoma" w:cs="Tahoma"/>
          <w:i/>
          <w:iCs/>
          <w:szCs w:val="22"/>
        </w:rPr>
        <w:t xml:space="preserve">Blessing </w:t>
      </w:r>
      <w:r w:rsidRPr="001948A1">
        <w:rPr>
          <w:rFonts w:ascii="Tahoma" w:hAnsi="Tahoma" w:cs="Tahoma"/>
          <w:szCs w:val="22"/>
        </w:rPr>
        <w:t>test.’”) (</w:t>
      </w:r>
      <w:proofErr w:type="gramStart"/>
      <w:r w:rsidRPr="001948A1">
        <w:rPr>
          <w:rFonts w:ascii="Tahoma" w:hAnsi="Tahoma" w:cs="Tahoma"/>
          <w:szCs w:val="22"/>
        </w:rPr>
        <w:t>citation</w:t>
      </w:r>
      <w:proofErr w:type="gramEnd"/>
      <w:r w:rsidRPr="001948A1">
        <w:rPr>
          <w:rFonts w:ascii="Tahoma" w:hAnsi="Tahoma" w:cs="Tahoma"/>
          <w:szCs w:val="22"/>
        </w:rPr>
        <w:t xml:space="preserve"> omitted); </w:t>
      </w:r>
      <w:r w:rsidRPr="001948A1">
        <w:rPr>
          <w:rFonts w:ascii="Tahoma" w:hAnsi="Tahoma" w:cs="Tahoma"/>
          <w:i/>
          <w:szCs w:val="22"/>
        </w:rPr>
        <w:t>see also</w:t>
      </w:r>
      <w:r w:rsidRPr="001948A1">
        <w:rPr>
          <w:rFonts w:ascii="Tahoma" w:hAnsi="Tahoma" w:cs="Tahoma"/>
          <w:szCs w:val="22"/>
        </w:rPr>
        <w:t xml:space="preserve">, </w:t>
      </w:r>
      <w:r w:rsidRPr="001948A1">
        <w:rPr>
          <w:rFonts w:ascii="Tahoma" w:hAnsi="Tahoma" w:cs="Tahoma"/>
          <w:i/>
          <w:szCs w:val="22"/>
        </w:rPr>
        <w:t>e.g</w:t>
      </w:r>
      <w:r w:rsidRPr="001948A1">
        <w:rPr>
          <w:rFonts w:ascii="Tahoma" w:hAnsi="Tahoma" w:cs="Tahoma"/>
          <w:szCs w:val="22"/>
        </w:rPr>
        <w:t xml:space="preserve">., </w:t>
      </w:r>
      <w:r w:rsidRPr="001948A1">
        <w:rPr>
          <w:rFonts w:ascii="Tahoma" w:hAnsi="Tahoma" w:cs="Tahoma"/>
          <w:i/>
          <w:szCs w:val="22"/>
        </w:rPr>
        <w:t>Johnson v. City of Detroit</w:t>
      </w:r>
      <w:r w:rsidRPr="001948A1">
        <w:rPr>
          <w:rFonts w:ascii="Tahoma" w:hAnsi="Tahoma" w:cs="Tahoma"/>
          <w:szCs w:val="22"/>
        </w:rPr>
        <w:t>, 446 F.3d 614 (6th Cir, 2006); S</w:t>
      </w:r>
      <w:r w:rsidRPr="001948A1">
        <w:rPr>
          <w:rFonts w:ascii="Tahoma" w:hAnsi="Tahoma" w:cs="Tahoma"/>
          <w:i/>
          <w:szCs w:val="22"/>
        </w:rPr>
        <w:t xml:space="preserve">outh Camden Citizens v. </w:t>
      </w:r>
      <w:proofErr w:type="gramStart"/>
      <w:r w:rsidRPr="001948A1">
        <w:rPr>
          <w:rFonts w:ascii="Tahoma" w:hAnsi="Tahoma" w:cs="Tahoma"/>
          <w:i/>
          <w:szCs w:val="22"/>
        </w:rPr>
        <w:t>New Jersey Dep’t of Environmental Protection</w:t>
      </w:r>
      <w:r w:rsidRPr="001948A1">
        <w:rPr>
          <w:rFonts w:ascii="Tahoma" w:hAnsi="Tahoma" w:cs="Tahoma"/>
          <w:szCs w:val="22"/>
        </w:rPr>
        <w:t>, 274 F.3d 771 (3d Cir. 2001).</w:t>
      </w:r>
      <w:proofErr w:type="gramEnd"/>
      <w:r w:rsidRPr="001948A1">
        <w:rPr>
          <w:rFonts w:ascii="Tahoma" w:hAnsi="Tahoma" w:cs="Tahoma"/>
          <w:szCs w:val="22"/>
        </w:rPr>
        <w:t xml:space="preserve"> </w:t>
      </w:r>
      <w:r w:rsidRPr="001948A1">
        <w:rPr>
          <w:rFonts w:ascii="Tahoma" w:hAnsi="Tahoma" w:cs="Tahoma"/>
          <w:i/>
          <w:szCs w:val="22"/>
        </w:rPr>
        <w:t>See also Harris v. James</w:t>
      </w:r>
      <w:r w:rsidRPr="001948A1">
        <w:rPr>
          <w:rFonts w:ascii="Tahoma" w:hAnsi="Tahoma" w:cs="Tahoma"/>
          <w:szCs w:val="22"/>
        </w:rPr>
        <w:t xml:space="preserve">, 127 F.3d 993, 465 (11th Cir. 1997); </w:t>
      </w:r>
      <w:r w:rsidRPr="001948A1">
        <w:rPr>
          <w:rFonts w:ascii="Tahoma" w:hAnsi="Tahoma" w:cs="Tahoma"/>
          <w:i/>
          <w:szCs w:val="22"/>
        </w:rPr>
        <w:t>Smith v. Kirk</w:t>
      </w:r>
      <w:r w:rsidRPr="001948A1">
        <w:rPr>
          <w:rFonts w:ascii="Tahoma" w:hAnsi="Tahoma" w:cs="Tahoma"/>
          <w:szCs w:val="22"/>
        </w:rPr>
        <w:t xml:space="preserve">, 821 F.2d 980 (4th Cir. 1987).  </w:t>
      </w:r>
    </w:p>
  </w:footnote>
  <w:footnote w:id="33">
    <w:p w:rsidR="007E4F3A" w:rsidRPr="001948A1" w:rsidRDefault="007E4F3A" w:rsidP="001948A1">
      <w:pPr>
        <w:pStyle w:val="FootnoteText"/>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proofErr w:type="spellStart"/>
      <w:proofErr w:type="gramStart"/>
      <w:r w:rsidRPr="001948A1">
        <w:rPr>
          <w:rFonts w:ascii="Tahoma" w:hAnsi="Tahoma" w:cs="Tahoma"/>
          <w:i/>
          <w:szCs w:val="22"/>
        </w:rPr>
        <w:t>Shakhnes</w:t>
      </w:r>
      <w:proofErr w:type="spellEnd"/>
      <w:r w:rsidRPr="001948A1">
        <w:rPr>
          <w:rFonts w:ascii="Tahoma" w:hAnsi="Tahoma" w:cs="Tahoma"/>
          <w:i/>
          <w:szCs w:val="22"/>
        </w:rPr>
        <w:t xml:space="preserve"> v. </w:t>
      </w:r>
      <w:proofErr w:type="spellStart"/>
      <w:r w:rsidRPr="001948A1">
        <w:rPr>
          <w:rFonts w:ascii="Tahoma" w:hAnsi="Tahoma" w:cs="Tahoma"/>
          <w:i/>
          <w:szCs w:val="22"/>
        </w:rPr>
        <w:t>Belin</w:t>
      </w:r>
      <w:proofErr w:type="spellEnd"/>
      <w:r w:rsidRPr="001948A1">
        <w:rPr>
          <w:rFonts w:ascii="Tahoma" w:hAnsi="Tahoma" w:cs="Tahoma"/>
          <w:szCs w:val="22"/>
        </w:rPr>
        <w:t>, 689 F.3d 244, 254 (2d Cir. 2012).</w:t>
      </w:r>
      <w:proofErr w:type="gramEnd"/>
    </w:p>
  </w:footnote>
  <w:footnote w:id="34">
    <w:p w:rsidR="007E4F3A" w:rsidRPr="001948A1" w:rsidRDefault="007E4F3A" w:rsidP="001948A1">
      <w:pPr>
        <w:pStyle w:val="FootnoteText"/>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 xml:space="preserve">See </w:t>
      </w:r>
      <w:proofErr w:type="spellStart"/>
      <w:r w:rsidRPr="001948A1">
        <w:rPr>
          <w:rFonts w:ascii="Tahoma" w:hAnsi="Tahoma" w:cs="Tahoma"/>
          <w:i/>
          <w:szCs w:val="22"/>
        </w:rPr>
        <w:t>Shakhnes</w:t>
      </w:r>
      <w:proofErr w:type="spellEnd"/>
      <w:r w:rsidRPr="001948A1">
        <w:rPr>
          <w:rFonts w:ascii="Tahoma" w:hAnsi="Tahoma" w:cs="Tahoma"/>
          <w:i/>
          <w:szCs w:val="22"/>
        </w:rPr>
        <w:t xml:space="preserve"> v. Berlin</w:t>
      </w:r>
      <w:r w:rsidRPr="001948A1">
        <w:rPr>
          <w:rFonts w:ascii="Tahoma" w:hAnsi="Tahoma" w:cs="Tahoma"/>
          <w:szCs w:val="22"/>
        </w:rPr>
        <w:t xml:space="preserve">, 689 F.3d 244 (2d Cir. 2012), </w:t>
      </w:r>
      <w:r w:rsidRPr="001948A1">
        <w:rPr>
          <w:rFonts w:ascii="Tahoma" w:hAnsi="Tahoma" w:cs="Tahoma"/>
          <w:i/>
          <w:szCs w:val="22"/>
        </w:rPr>
        <w:t>cert. denied</w:t>
      </w:r>
      <w:r w:rsidRPr="001948A1">
        <w:rPr>
          <w:rFonts w:ascii="Tahoma" w:hAnsi="Tahoma" w:cs="Tahoma"/>
          <w:szCs w:val="22"/>
        </w:rPr>
        <w:t xml:space="preserve">, 133 S Ct. 1808 (2013) (regarding § </w:t>
      </w:r>
      <w:proofErr w:type="gramStart"/>
      <w:r w:rsidRPr="001948A1">
        <w:rPr>
          <w:rFonts w:ascii="Tahoma" w:hAnsi="Tahoma" w:cs="Tahoma"/>
          <w:szCs w:val="22"/>
        </w:rPr>
        <w:t>1396a(</w:t>
      </w:r>
      <w:proofErr w:type="gramEnd"/>
      <w:r w:rsidRPr="001948A1">
        <w:rPr>
          <w:rFonts w:ascii="Tahoma" w:hAnsi="Tahoma" w:cs="Tahoma"/>
          <w:szCs w:val="22"/>
        </w:rPr>
        <w:t xml:space="preserve">a)(3)); </w:t>
      </w:r>
      <w:proofErr w:type="spellStart"/>
      <w:r w:rsidRPr="001948A1">
        <w:rPr>
          <w:rFonts w:ascii="Tahoma" w:hAnsi="Tahoma" w:cs="Tahoma"/>
          <w:i/>
          <w:szCs w:val="22"/>
        </w:rPr>
        <w:t>Brontrager</w:t>
      </w:r>
      <w:proofErr w:type="spellEnd"/>
      <w:r w:rsidRPr="001948A1">
        <w:rPr>
          <w:rFonts w:ascii="Tahoma" w:hAnsi="Tahoma" w:cs="Tahoma"/>
          <w:i/>
          <w:szCs w:val="22"/>
        </w:rPr>
        <w:t xml:space="preserve"> v. Ind. Fam.&amp; Soc. </w:t>
      </w:r>
      <w:proofErr w:type="spellStart"/>
      <w:r w:rsidRPr="001948A1">
        <w:rPr>
          <w:rFonts w:ascii="Tahoma" w:hAnsi="Tahoma" w:cs="Tahoma"/>
          <w:i/>
          <w:szCs w:val="22"/>
        </w:rPr>
        <w:t>Servs</w:t>
      </w:r>
      <w:proofErr w:type="spellEnd"/>
      <w:r w:rsidRPr="001948A1">
        <w:rPr>
          <w:rFonts w:ascii="Tahoma" w:hAnsi="Tahoma" w:cs="Tahoma"/>
          <w:i/>
          <w:szCs w:val="22"/>
        </w:rPr>
        <w:t>. Admin.</w:t>
      </w:r>
      <w:r w:rsidRPr="001948A1">
        <w:rPr>
          <w:rFonts w:ascii="Tahoma" w:hAnsi="Tahoma" w:cs="Tahoma"/>
          <w:szCs w:val="22"/>
        </w:rPr>
        <w:t xml:space="preserve">, 697 F.3d 604 (7th Cir. 2012), </w:t>
      </w:r>
      <w:r w:rsidRPr="001948A1">
        <w:rPr>
          <w:rFonts w:ascii="Tahoma" w:hAnsi="Tahoma" w:cs="Tahoma"/>
          <w:i/>
          <w:szCs w:val="22"/>
        </w:rPr>
        <w:t>cert. denied</w:t>
      </w:r>
      <w:r w:rsidRPr="001948A1">
        <w:rPr>
          <w:rFonts w:ascii="Tahoma" w:hAnsi="Tahoma" w:cs="Tahoma"/>
          <w:szCs w:val="22"/>
        </w:rPr>
        <w:t xml:space="preserve">, 133 S. Ct. 2002 (2013) (regarding § 1396a(a)(10)(A)); </w:t>
      </w:r>
      <w:r w:rsidRPr="001948A1">
        <w:rPr>
          <w:rFonts w:ascii="Tahoma" w:hAnsi="Tahoma" w:cs="Tahoma"/>
          <w:i/>
          <w:szCs w:val="22"/>
        </w:rPr>
        <w:t>Lewis v. Alexander</w:t>
      </w:r>
      <w:r w:rsidRPr="001948A1">
        <w:rPr>
          <w:rFonts w:ascii="Tahoma" w:hAnsi="Tahoma" w:cs="Tahoma"/>
          <w:szCs w:val="22"/>
        </w:rPr>
        <w:t xml:space="preserve">, 685 F.3d 325 (3d Cir. 2012), </w:t>
      </w:r>
      <w:r w:rsidRPr="001948A1">
        <w:rPr>
          <w:rFonts w:ascii="Tahoma" w:hAnsi="Tahoma" w:cs="Tahoma"/>
          <w:i/>
          <w:szCs w:val="22"/>
        </w:rPr>
        <w:t>cert. denied</w:t>
      </w:r>
      <w:r w:rsidRPr="001948A1">
        <w:rPr>
          <w:rFonts w:ascii="Tahoma" w:hAnsi="Tahoma" w:cs="Tahoma"/>
          <w:szCs w:val="22"/>
        </w:rPr>
        <w:t xml:space="preserve">, 133 S. Ct. 933 (2013) (regarding § 1336a(a)(18), 1396p(d)(4)(C)); </w:t>
      </w:r>
      <w:r w:rsidRPr="001948A1">
        <w:rPr>
          <w:rFonts w:ascii="Tahoma" w:hAnsi="Tahoma" w:cs="Tahoma"/>
          <w:i/>
          <w:szCs w:val="22"/>
        </w:rPr>
        <w:t xml:space="preserve">Planned Parenthood of Ind. v. </w:t>
      </w:r>
      <w:proofErr w:type="spellStart"/>
      <w:r w:rsidRPr="001948A1">
        <w:rPr>
          <w:rFonts w:ascii="Tahoma" w:hAnsi="Tahoma" w:cs="Tahoma"/>
          <w:i/>
          <w:szCs w:val="22"/>
        </w:rPr>
        <w:t>Comm’r</w:t>
      </w:r>
      <w:proofErr w:type="spellEnd"/>
      <w:r w:rsidRPr="001948A1">
        <w:rPr>
          <w:rFonts w:ascii="Tahoma" w:hAnsi="Tahoma" w:cs="Tahoma"/>
          <w:szCs w:val="22"/>
        </w:rPr>
        <w:t xml:space="preserve">, 699 F.3d 962 (7th Cir. 2012), </w:t>
      </w:r>
      <w:r w:rsidRPr="001948A1">
        <w:rPr>
          <w:rFonts w:ascii="Tahoma" w:hAnsi="Tahoma" w:cs="Tahoma"/>
          <w:i/>
          <w:szCs w:val="22"/>
        </w:rPr>
        <w:t>cert. denied</w:t>
      </w:r>
      <w:r w:rsidRPr="001948A1">
        <w:rPr>
          <w:rFonts w:ascii="Tahoma" w:hAnsi="Tahoma" w:cs="Tahoma"/>
          <w:szCs w:val="22"/>
        </w:rPr>
        <w:t>, 133 S. Ct. 2736, 2738 (2013) (regarding § 1396a(a)(23)).</w:t>
      </w:r>
    </w:p>
  </w:footnote>
  <w:footnote w:id="35">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NHeLP maintains a § 1983 docket that charts Medicaid Act enforcement provision-by-provision. Consult this docket when considering litigation.  </w:t>
      </w:r>
    </w:p>
  </w:footnote>
  <w:footnote w:id="36">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See, e.g</w:t>
      </w:r>
      <w:r w:rsidRPr="001948A1">
        <w:rPr>
          <w:rFonts w:ascii="Tahoma" w:hAnsi="Tahoma" w:cs="Tahoma"/>
          <w:szCs w:val="22"/>
        </w:rPr>
        <w:t xml:space="preserve">., </w:t>
      </w:r>
      <w:proofErr w:type="spellStart"/>
      <w:r w:rsidRPr="001948A1">
        <w:rPr>
          <w:rFonts w:ascii="Tahoma" w:hAnsi="Tahoma" w:cs="Tahoma"/>
          <w:i/>
          <w:szCs w:val="22"/>
        </w:rPr>
        <w:t>Bruggeman</w:t>
      </w:r>
      <w:proofErr w:type="spellEnd"/>
      <w:r w:rsidRPr="001948A1">
        <w:rPr>
          <w:rFonts w:ascii="Tahoma" w:hAnsi="Tahoma" w:cs="Tahoma"/>
          <w:i/>
          <w:szCs w:val="22"/>
        </w:rPr>
        <w:t xml:space="preserve"> v. Blagojevich</w:t>
      </w:r>
      <w:r w:rsidRPr="001948A1">
        <w:rPr>
          <w:rFonts w:ascii="Tahoma" w:hAnsi="Tahoma" w:cs="Tahoma"/>
          <w:szCs w:val="22"/>
        </w:rPr>
        <w:t>, 324 F.3d 906</w:t>
      </w:r>
      <w:r w:rsidRPr="001948A1">
        <w:rPr>
          <w:rFonts w:ascii="Tahoma" w:hAnsi="Tahoma" w:cs="Tahoma"/>
          <w:b/>
          <w:bCs/>
          <w:szCs w:val="22"/>
        </w:rPr>
        <w:t xml:space="preserve"> </w:t>
      </w:r>
      <w:r w:rsidRPr="001948A1">
        <w:rPr>
          <w:rFonts w:ascii="Tahoma" w:hAnsi="Tahoma" w:cs="Tahoma"/>
          <w:szCs w:val="22"/>
        </w:rPr>
        <w:t xml:space="preserve">(7th Cir. 2003) (finding plaintiff failed to meet 2d prong); </w:t>
      </w:r>
      <w:proofErr w:type="spellStart"/>
      <w:r w:rsidRPr="001948A1">
        <w:rPr>
          <w:rFonts w:ascii="Tahoma" w:hAnsi="Tahoma" w:cs="Tahoma"/>
          <w:i/>
          <w:szCs w:val="22"/>
        </w:rPr>
        <w:t>Keup</w:t>
      </w:r>
      <w:proofErr w:type="spellEnd"/>
      <w:r w:rsidRPr="001948A1">
        <w:rPr>
          <w:rFonts w:ascii="Tahoma" w:hAnsi="Tahoma" w:cs="Tahoma"/>
          <w:i/>
          <w:szCs w:val="22"/>
        </w:rPr>
        <w:t xml:space="preserve"> v. Wis. Dep’t of Health &amp; Fam. Serv</w:t>
      </w:r>
      <w:r w:rsidRPr="001948A1">
        <w:rPr>
          <w:rFonts w:ascii="Tahoma" w:hAnsi="Tahoma" w:cs="Tahoma"/>
          <w:szCs w:val="22"/>
        </w:rPr>
        <w:t>., 2004 WI 16 (2004) (finding plaintiff failed to meet 3d prong).</w:t>
      </w:r>
    </w:p>
  </w:footnote>
  <w:footnote w:id="37">
    <w:p w:rsidR="007E4F3A" w:rsidRPr="001948A1" w:rsidRDefault="007E4F3A" w:rsidP="001948A1">
      <w:pPr>
        <w:pStyle w:val="FootnoteText"/>
        <w:keepLines/>
        <w:rPr>
          <w:rFonts w:ascii="Tahoma" w:hAnsi="Tahoma" w:cs="Tahoma"/>
          <w:szCs w:val="22"/>
        </w:rPr>
      </w:pPr>
      <w:r w:rsidRPr="001948A1">
        <w:rPr>
          <w:rStyle w:val="FootnoteReference"/>
          <w:rFonts w:ascii="Tahoma" w:hAnsi="Tahoma" w:cs="Tahoma"/>
          <w:szCs w:val="22"/>
        </w:rPr>
        <w:footnoteRef/>
      </w:r>
      <w:r w:rsidRPr="001948A1">
        <w:rPr>
          <w:rFonts w:ascii="Tahoma" w:hAnsi="Tahoma" w:cs="Tahoma"/>
          <w:szCs w:val="22"/>
        </w:rPr>
        <w:t xml:space="preserve"> </w:t>
      </w:r>
      <w:r w:rsidRPr="001948A1">
        <w:rPr>
          <w:rFonts w:ascii="Tahoma" w:hAnsi="Tahoma" w:cs="Tahoma"/>
          <w:i/>
          <w:szCs w:val="22"/>
        </w:rPr>
        <w:t>E.g.,</w:t>
      </w:r>
      <w:r w:rsidRPr="001948A1">
        <w:rPr>
          <w:rFonts w:ascii="Tahoma" w:hAnsi="Tahoma" w:cs="Tahoma"/>
          <w:szCs w:val="22"/>
        </w:rPr>
        <w:t xml:space="preserve"> </w:t>
      </w:r>
      <w:r w:rsidRPr="001948A1">
        <w:rPr>
          <w:rFonts w:ascii="Tahoma" w:hAnsi="Tahoma" w:cs="Tahoma"/>
          <w:i/>
          <w:szCs w:val="22"/>
        </w:rPr>
        <w:t>Doe v. Kidd</w:t>
      </w:r>
      <w:r w:rsidRPr="001948A1">
        <w:rPr>
          <w:rFonts w:ascii="Tahoma" w:hAnsi="Tahoma" w:cs="Tahoma"/>
          <w:szCs w:val="22"/>
        </w:rPr>
        <w:t xml:space="preserve">, 501 F.3d 348, 365-68 (Whitney, J., dissenting) (arguing the three-factor test of </w:t>
      </w:r>
      <w:r w:rsidRPr="001948A1">
        <w:rPr>
          <w:rFonts w:ascii="Tahoma" w:hAnsi="Tahoma" w:cs="Tahoma"/>
          <w:i/>
          <w:szCs w:val="22"/>
        </w:rPr>
        <w:t>Blessing</w:t>
      </w:r>
      <w:r w:rsidRPr="001948A1">
        <w:rPr>
          <w:rFonts w:ascii="Tahoma" w:hAnsi="Tahoma" w:cs="Tahoma"/>
          <w:szCs w:val="22"/>
        </w:rPr>
        <w:t xml:space="preserve"> should not 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A2" w:rsidRDefault="00B97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A2" w:rsidRDefault="00B975A2">
    <w:pPr>
      <w:pStyle w:val="Header"/>
    </w:pPr>
  </w:p>
  <w:p w:rsidR="00837DF8" w:rsidRDefault="00837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A2" w:rsidRDefault="00B975A2" w:rsidP="009873A1">
    <w:pPr>
      <w:pStyle w:val="Header"/>
    </w:pPr>
    <w:r w:rsidRPr="00DB4C89">
      <w:rPr>
        <w:rFonts w:ascii="Arial" w:hAnsi="Arial"/>
        <w:b/>
        <w:noProof/>
        <w:color w:val="002060"/>
        <w:sz w:val="28"/>
      </w:rPr>
      <w:drawing>
        <wp:inline distT="0" distB="0" distL="0" distR="0" wp14:anchorId="3388202A" wp14:editId="0846A7BB">
          <wp:extent cx="1818314" cy="685800"/>
          <wp:effectExtent l="0" t="0" r="0" b="0"/>
          <wp:docPr id="22" name="Picture 22" descr="\\psf\Home\Desktop\NHELP\ACA Top 6\NHLP_2c_2995-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NHELP\ACA Top 6\NHLP_2c_2995-2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314" cy="685800"/>
                  </a:xfrm>
                  <a:prstGeom prst="rect">
                    <a:avLst/>
                  </a:prstGeom>
                  <a:noFill/>
                  <a:ln>
                    <a:noFill/>
                  </a:ln>
                </pic:spPr>
              </pic:pic>
            </a:graphicData>
          </a:graphic>
        </wp:inline>
      </w:drawing>
    </w:r>
  </w:p>
  <w:p w:rsidR="00B975A2" w:rsidRDefault="00B97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2A8B84"/>
    <w:lvl w:ilvl="0">
      <w:start w:val="1"/>
      <w:numFmt w:val="decimal"/>
      <w:lvlText w:val="%1."/>
      <w:lvlJc w:val="left"/>
      <w:pPr>
        <w:tabs>
          <w:tab w:val="num" w:pos="1800"/>
        </w:tabs>
        <w:ind w:left="1800" w:hanging="360"/>
      </w:pPr>
    </w:lvl>
  </w:abstractNum>
  <w:abstractNum w:abstractNumId="1">
    <w:nsid w:val="FFFFFF7D"/>
    <w:multiLevelType w:val="singleLevel"/>
    <w:tmpl w:val="4B7A15A2"/>
    <w:lvl w:ilvl="0">
      <w:start w:val="1"/>
      <w:numFmt w:val="decimal"/>
      <w:lvlText w:val="%1."/>
      <w:lvlJc w:val="left"/>
      <w:pPr>
        <w:tabs>
          <w:tab w:val="num" w:pos="1440"/>
        </w:tabs>
        <w:ind w:left="1440" w:hanging="360"/>
      </w:pPr>
    </w:lvl>
  </w:abstractNum>
  <w:abstractNum w:abstractNumId="2">
    <w:nsid w:val="FFFFFF7E"/>
    <w:multiLevelType w:val="singleLevel"/>
    <w:tmpl w:val="3F74CDCA"/>
    <w:lvl w:ilvl="0">
      <w:start w:val="1"/>
      <w:numFmt w:val="decimal"/>
      <w:lvlText w:val="%1."/>
      <w:lvlJc w:val="left"/>
      <w:pPr>
        <w:tabs>
          <w:tab w:val="num" w:pos="1080"/>
        </w:tabs>
        <w:ind w:left="1080" w:hanging="360"/>
      </w:pPr>
    </w:lvl>
  </w:abstractNum>
  <w:abstractNum w:abstractNumId="3">
    <w:nsid w:val="FFFFFF7F"/>
    <w:multiLevelType w:val="singleLevel"/>
    <w:tmpl w:val="A94A3154"/>
    <w:lvl w:ilvl="0">
      <w:start w:val="1"/>
      <w:numFmt w:val="decimal"/>
      <w:lvlText w:val="%1."/>
      <w:lvlJc w:val="left"/>
      <w:pPr>
        <w:tabs>
          <w:tab w:val="num" w:pos="720"/>
        </w:tabs>
        <w:ind w:left="720" w:hanging="360"/>
      </w:pPr>
    </w:lvl>
  </w:abstractNum>
  <w:abstractNum w:abstractNumId="4">
    <w:nsid w:val="FFFFFF80"/>
    <w:multiLevelType w:val="singleLevel"/>
    <w:tmpl w:val="113CB1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568D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1EE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FEC8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A5E4E"/>
    <w:lvl w:ilvl="0">
      <w:start w:val="1"/>
      <w:numFmt w:val="decimal"/>
      <w:lvlText w:val="%1."/>
      <w:lvlJc w:val="left"/>
      <w:pPr>
        <w:tabs>
          <w:tab w:val="num" w:pos="360"/>
        </w:tabs>
        <w:ind w:left="360" w:hanging="360"/>
      </w:pPr>
    </w:lvl>
  </w:abstractNum>
  <w:abstractNum w:abstractNumId="9">
    <w:nsid w:val="FFFFFF89"/>
    <w:multiLevelType w:val="singleLevel"/>
    <w:tmpl w:val="CC94DCCE"/>
    <w:lvl w:ilvl="0">
      <w:start w:val="1"/>
      <w:numFmt w:val="bullet"/>
      <w:lvlText w:val=""/>
      <w:lvlJc w:val="left"/>
      <w:pPr>
        <w:tabs>
          <w:tab w:val="num" w:pos="360"/>
        </w:tabs>
        <w:ind w:left="360" w:hanging="360"/>
      </w:pPr>
      <w:rPr>
        <w:rFonts w:ascii="Symbol" w:hAnsi="Symbol" w:hint="default"/>
      </w:rPr>
    </w:lvl>
  </w:abstractNum>
  <w:abstractNum w:abstractNumId="10">
    <w:nsid w:val="0BE86600"/>
    <w:multiLevelType w:val="hybridMultilevel"/>
    <w:tmpl w:val="5CC43DAA"/>
    <w:lvl w:ilvl="0" w:tplc="35E6436E">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0"/>
    <w:rsid w:val="00032C5F"/>
    <w:rsid w:val="000461E1"/>
    <w:rsid w:val="00057F4A"/>
    <w:rsid w:val="000F1765"/>
    <w:rsid w:val="001948A1"/>
    <w:rsid w:val="00245F12"/>
    <w:rsid w:val="00265093"/>
    <w:rsid w:val="002A080D"/>
    <w:rsid w:val="002A4D75"/>
    <w:rsid w:val="002B4C13"/>
    <w:rsid w:val="0030428D"/>
    <w:rsid w:val="00350DA7"/>
    <w:rsid w:val="006579B0"/>
    <w:rsid w:val="007106EF"/>
    <w:rsid w:val="00760BC1"/>
    <w:rsid w:val="007E4F3A"/>
    <w:rsid w:val="0083060F"/>
    <w:rsid w:val="00837DF8"/>
    <w:rsid w:val="008D27F0"/>
    <w:rsid w:val="009873A1"/>
    <w:rsid w:val="009C1FE2"/>
    <w:rsid w:val="00AA2C3C"/>
    <w:rsid w:val="00B85E03"/>
    <w:rsid w:val="00B975A2"/>
    <w:rsid w:val="00BE1D99"/>
    <w:rsid w:val="00BE4E79"/>
    <w:rsid w:val="00BE71BC"/>
    <w:rsid w:val="00C40C92"/>
    <w:rsid w:val="00CB488C"/>
    <w:rsid w:val="00F03FA8"/>
    <w:rsid w:val="00F6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C1"/>
  </w:style>
  <w:style w:type="paragraph" w:styleId="Heading1">
    <w:name w:val="heading 1"/>
    <w:basedOn w:val="Normal"/>
    <w:next w:val="Normal"/>
    <w:link w:val="Heading1Char"/>
    <w:uiPriority w:val="9"/>
    <w:qFormat/>
    <w:rsid w:val="00B975A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75A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75A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75A2"/>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4C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C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C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C13"/>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B4C1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B0"/>
  </w:style>
  <w:style w:type="paragraph" w:styleId="Footer">
    <w:name w:val="footer"/>
    <w:basedOn w:val="Normal"/>
    <w:link w:val="FooterChar"/>
    <w:uiPriority w:val="99"/>
    <w:unhideWhenUsed/>
    <w:rsid w:val="0065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B0"/>
  </w:style>
  <w:style w:type="table" w:styleId="TableGrid">
    <w:name w:val="Table Grid"/>
    <w:basedOn w:val="TableNormal"/>
    <w:uiPriority w:val="59"/>
    <w:rsid w:val="0065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79B0"/>
    <w:rPr>
      <w:color w:val="00B0F0"/>
      <w:u w:val="single"/>
    </w:rPr>
  </w:style>
  <w:style w:type="paragraph" w:styleId="BalloonText">
    <w:name w:val="Balloon Text"/>
    <w:basedOn w:val="Normal"/>
    <w:link w:val="BalloonTextChar"/>
    <w:uiPriority w:val="99"/>
    <w:semiHidden/>
    <w:unhideWhenUsed/>
    <w:rsid w:val="0076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C1"/>
    <w:rPr>
      <w:rFonts w:ascii="Tahoma" w:hAnsi="Tahoma" w:cs="Tahoma"/>
      <w:sz w:val="16"/>
      <w:szCs w:val="16"/>
    </w:rPr>
  </w:style>
  <w:style w:type="paragraph" w:styleId="Title">
    <w:name w:val="Title"/>
    <w:basedOn w:val="Normal"/>
    <w:next w:val="Normal"/>
    <w:link w:val="TitleChar"/>
    <w:uiPriority w:val="10"/>
    <w:qFormat/>
    <w:rsid w:val="002B4C13"/>
    <w:pP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2B4C13"/>
    <w:rPr>
      <w:rFonts w:asciiTheme="majorHAnsi" w:eastAsiaTheme="majorEastAsia" w:hAnsiTheme="majorHAnsi" w:cstheme="majorBidi"/>
      <w:color w:val="17365D" w:themeColor="text2" w:themeShade="BF"/>
      <w:spacing w:val="5"/>
      <w:kern w:val="28"/>
      <w:sz w:val="32"/>
      <w:szCs w:val="52"/>
    </w:rPr>
  </w:style>
  <w:style w:type="character" w:customStyle="1" w:styleId="Heading9Char">
    <w:name w:val="Heading 9 Char"/>
    <w:basedOn w:val="DefaultParagraphFont"/>
    <w:link w:val="Heading9"/>
    <w:uiPriority w:val="9"/>
    <w:semiHidden/>
    <w:rsid w:val="002B4C13"/>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B4C13"/>
    <w:rPr>
      <w:rFonts w:asciiTheme="majorHAnsi" w:eastAsiaTheme="majorEastAsia" w:hAnsiTheme="majorHAnsi" w:cstheme="majorBidi"/>
      <w:color w:val="404040" w:themeColor="text1" w:themeTint="BF"/>
      <w:szCs w:val="20"/>
    </w:rPr>
  </w:style>
  <w:style w:type="character" w:customStyle="1" w:styleId="Heading7Char">
    <w:name w:val="Heading 7 Char"/>
    <w:basedOn w:val="DefaultParagraphFont"/>
    <w:link w:val="Heading7"/>
    <w:uiPriority w:val="9"/>
    <w:semiHidden/>
    <w:rsid w:val="002B4C13"/>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B4C13"/>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B4C1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975A2"/>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semiHidden/>
    <w:rsid w:val="00B975A2"/>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B975A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B975A2"/>
    <w:rPr>
      <w:rFonts w:asciiTheme="majorHAnsi" w:eastAsiaTheme="majorEastAsia" w:hAnsiTheme="majorHAnsi" w:cstheme="majorBidi"/>
      <w:b/>
      <w:bCs/>
      <w:sz w:val="28"/>
      <w:szCs w:val="28"/>
    </w:rPr>
  </w:style>
  <w:style w:type="paragraph" w:styleId="FootnoteText">
    <w:name w:val="footnote text"/>
    <w:basedOn w:val="Normal"/>
    <w:link w:val="FootnoteTextChar"/>
    <w:unhideWhenUsed/>
    <w:rsid w:val="00B975A2"/>
    <w:pPr>
      <w:spacing w:after="0" w:line="240" w:lineRule="auto"/>
    </w:pPr>
    <w:rPr>
      <w:szCs w:val="20"/>
    </w:rPr>
  </w:style>
  <w:style w:type="character" w:customStyle="1" w:styleId="FootnoteTextChar">
    <w:name w:val="Footnote Text Char"/>
    <w:basedOn w:val="DefaultParagraphFont"/>
    <w:link w:val="FootnoteText"/>
    <w:rsid w:val="00B975A2"/>
    <w:rPr>
      <w:szCs w:val="20"/>
    </w:rPr>
  </w:style>
  <w:style w:type="character" w:styleId="FootnoteReference">
    <w:name w:val="footnote reference"/>
    <w:basedOn w:val="DefaultParagraphFont"/>
    <w:unhideWhenUsed/>
    <w:rsid w:val="0030428D"/>
    <w:rPr>
      <w:vertAlign w:val="superscript"/>
    </w:rPr>
  </w:style>
  <w:style w:type="character" w:styleId="FollowedHyperlink">
    <w:name w:val="FollowedHyperlink"/>
    <w:basedOn w:val="DefaultParagraphFont"/>
    <w:uiPriority w:val="99"/>
    <w:semiHidden/>
    <w:unhideWhenUsed/>
    <w:rsid w:val="00B975A2"/>
    <w:rPr>
      <w:color w:val="00B0F0"/>
      <w:u w:val="single"/>
    </w:rPr>
  </w:style>
  <w:style w:type="paragraph" w:styleId="EndnoteText">
    <w:name w:val="endnote text"/>
    <w:basedOn w:val="Normal"/>
    <w:link w:val="EndnoteTextChar"/>
    <w:uiPriority w:val="99"/>
    <w:semiHidden/>
    <w:unhideWhenUsed/>
    <w:rsid w:val="00B975A2"/>
    <w:pPr>
      <w:spacing w:after="0" w:line="240" w:lineRule="auto"/>
    </w:pPr>
    <w:rPr>
      <w:szCs w:val="20"/>
    </w:rPr>
  </w:style>
  <w:style w:type="character" w:customStyle="1" w:styleId="EndnoteTextChar">
    <w:name w:val="Endnote Text Char"/>
    <w:basedOn w:val="DefaultParagraphFont"/>
    <w:link w:val="EndnoteText"/>
    <w:uiPriority w:val="99"/>
    <w:semiHidden/>
    <w:rsid w:val="00B975A2"/>
    <w:rPr>
      <w:szCs w:val="20"/>
    </w:rPr>
  </w:style>
  <w:style w:type="paragraph" w:styleId="ListParagraph">
    <w:name w:val="List Paragraph"/>
    <w:basedOn w:val="Normal"/>
    <w:uiPriority w:val="34"/>
    <w:qFormat/>
    <w:rsid w:val="00194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C1"/>
  </w:style>
  <w:style w:type="paragraph" w:styleId="Heading1">
    <w:name w:val="heading 1"/>
    <w:basedOn w:val="Normal"/>
    <w:next w:val="Normal"/>
    <w:link w:val="Heading1Char"/>
    <w:uiPriority w:val="9"/>
    <w:qFormat/>
    <w:rsid w:val="00B975A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75A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75A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75A2"/>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4C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C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C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C13"/>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B4C1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B0"/>
  </w:style>
  <w:style w:type="paragraph" w:styleId="Footer">
    <w:name w:val="footer"/>
    <w:basedOn w:val="Normal"/>
    <w:link w:val="FooterChar"/>
    <w:uiPriority w:val="99"/>
    <w:unhideWhenUsed/>
    <w:rsid w:val="0065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B0"/>
  </w:style>
  <w:style w:type="table" w:styleId="TableGrid">
    <w:name w:val="Table Grid"/>
    <w:basedOn w:val="TableNormal"/>
    <w:uiPriority w:val="59"/>
    <w:rsid w:val="0065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79B0"/>
    <w:rPr>
      <w:color w:val="00B0F0"/>
      <w:u w:val="single"/>
    </w:rPr>
  </w:style>
  <w:style w:type="paragraph" w:styleId="BalloonText">
    <w:name w:val="Balloon Text"/>
    <w:basedOn w:val="Normal"/>
    <w:link w:val="BalloonTextChar"/>
    <w:uiPriority w:val="99"/>
    <w:semiHidden/>
    <w:unhideWhenUsed/>
    <w:rsid w:val="0076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C1"/>
    <w:rPr>
      <w:rFonts w:ascii="Tahoma" w:hAnsi="Tahoma" w:cs="Tahoma"/>
      <w:sz w:val="16"/>
      <w:szCs w:val="16"/>
    </w:rPr>
  </w:style>
  <w:style w:type="paragraph" w:styleId="Title">
    <w:name w:val="Title"/>
    <w:basedOn w:val="Normal"/>
    <w:next w:val="Normal"/>
    <w:link w:val="TitleChar"/>
    <w:uiPriority w:val="10"/>
    <w:qFormat/>
    <w:rsid w:val="002B4C13"/>
    <w:pP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2B4C13"/>
    <w:rPr>
      <w:rFonts w:asciiTheme="majorHAnsi" w:eastAsiaTheme="majorEastAsia" w:hAnsiTheme="majorHAnsi" w:cstheme="majorBidi"/>
      <w:color w:val="17365D" w:themeColor="text2" w:themeShade="BF"/>
      <w:spacing w:val="5"/>
      <w:kern w:val="28"/>
      <w:sz w:val="32"/>
      <w:szCs w:val="52"/>
    </w:rPr>
  </w:style>
  <w:style w:type="character" w:customStyle="1" w:styleId="Heading9Char">
    <w:name w:val="Heading 9 Char"/>
    <w:basedOn w:val="DefaultParagraphFont"/>
    <w:link w:val="Heading9"/>
    <w:uiPriority w:val="9"/>
    <w:semiHidden/>
    <w:rsid w:val="002B4C13"/>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B4C13"/>
    <w:rPr>
      <w:rFonts w:asciiTheme="majorHAnsi" w:eastAsiaTheme="majorEastAsia" w:hAnsiTheme="majorHAnsi" w:cstheme="majorBidi"/>
      <w:color w:val="404040" w:themeColor="text1" w:themeTint="BF"/>
      <w:szCs w:val="20"/>
    </w:rPr>
  </w:style>
  <w:style w:type="character" w:customStyle="1" w:styleId="Heading7Char">
    <w:name w:val="Heading 7 Char"/>
    <w:basedOn w:val="DefaultParagraphFont"/>
    <w:link w:val="Heading7"/>
    <w:uiPriority w:val="9"/>
    <w:semiHidden/>
    <w:rsid w:val="002B4C13"/>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B4C13"/>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B4C1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975A2"/>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semiHidden/>
    <w:rsid w:val="00B975A2"/>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B975A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B975A2"/>
    <w:rPr>
      <w:rFonts w:asciiTheme="majorHAnsi" w:eastAsiaTheme="majorEastAsia" w:hAnsiTheme="majorHAnsi" w:cstheme="majorBidi"/>
      <w:b/>
      <w:bCs/>
      <w:sz w:val="28"/>
      <w:szCs w:val="28"/>
    </w:rPr>
  </w:style>
  <w:style w:type="paragraph" w:styleId="FootnoteText">
    <w:name w:val="footnote text"/>
    <w:basedOn w:val="Normal"/>
    <w:link w:val="FootnoteTextChar"/>
    <w:unhideWhenUsed/>
    <w:rsid w:val="00B975A2"/>
    <w:pPr>
      <w:spacing w:after="0" w:line="240" w:lineRule="auto"/>
    </w:pPr>
    <w:rPr>
      <w:szCs w:val="20"/>
    </w:rPr>
  </w:style>
  <w:style w:type="character" w:customStyle="1" w:styleId="FootnoteTextChar">
    <w:name w:val="Footnote Text Char"/>
    <w:basedOn w:val="DefaultParagraphFont"/>
    <w:link w:val="FootnoteText"/>
    <w:rsid w:val="00B975A2"/>
    <w:rPr>
      <w:szCs w:val="20"/>
    </w:rPr>
  </w:style>
  <w:style w:type="character" w:styleId="FootnoteReference">
    <w:name w:val="footnote reference"/>
    <w:basedOn w:val="DefaultParagraphFont"/>
    <w:unhideWhenUsed/>
    <w:rsid w:val="0030428D"/>
    <w:rPr>
      <w:vertAlign w:val="superscript"/>
    </w:rPr>
  </w:style>
  <w:style w:type="character" w:styleId="FollowedHyperlink">
    <w:name w:val="FollowedHyperlink"/>
    <w:basedOn w:val="DefaultParagraphFont"/>
    <w:uiPriority w:val="99"/>
    <w:semiHidden/>
    <w:unhideWhenUsed/>
    <w:rsid w:val="00B975A2"/>
    <w:rPr>
      <w:color w:val="00B0F0"/>
      <w:u w:val="single"/>
    </w:rPr>
  </w:style>
  <w:style w:type="paragraph" w:styleId="EndnoteText">
    <w:name w:val="endnote text"/>
    <w:basedOn w:val="Normal"/>
    <w:link w:val="EndnoteTextChar"/>
    <w:uiPriority w:val="99"/>
    <w:semiHidden/>
    <w:unhideWhenUsed/>
    <w:rsid w:val="00B975A2"/>
    <w:pPr>
      <w:spacing w:after="0" w:line="240" w:lineRule="auto"/>
    </w:pPr>
    <w:rPr>
      <w:szCs w:val="20"/>
    </w:rPr>
  </w:style>
  <w:style w:type="character" w:customStyle="1" w:styleId="EndnoteTextChar">
    <w:name w:val="Endnote Text Char"/>
    <w:basedOn w:val="DefaultParagraphFont"/>
    <w:link w:val="EndnoteText"/>
    <w:uiPriority w:val="99"/>
    <w:semiHidden/>
    <w:rsid w:val="00B975A2"/>
    <w:rPr>
      <w:szCs w:val="20"/>
    </w:rPr>
  </w:style>
  <w:style w:type="paragraph" w:styleId="ListParagraph">
    <w:name w:val="List Paragraph"/>
    <w:basedOn w:val="Normal"/>
    <w:uiPriority w:val="34"/>
    <w:qFormat/>
    <w:rsid w:val="0019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healthlaw.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tc=-1&amp;docname=42USCAS1983&amp;rp=%2ffind%2fdefault.wl&amp;sv=Split&amp;rs=WLW11.04&amp;db=1000546&amp;tf=-1&amp;findtype=L&amp;fn=_top&amp;mt=208&amp;vr=2.0&amp;pbc=56757A84&amp;ordoc=199624218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19C6-AA2C-4744-9AD7-2192BBB4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Shupe</dc:creator>
  <cp:lastModifiedBy>Leo Cuello</cp:lastModifiedBy>
  <cp:revision>2</cp:revision>
  <cp:lastPrinted>2013-10-28T16:29:00Z</cp:lastPrinted>
  <dcterms:created xsi:type="dcterms:W3CDTF">2013-10-29T13:06:00Z</dcterms:created>
  <dcterms:modified xsi:type="dcterms:W3CDTF">2013-10-29T13:06:00Z</dcterms:modified>
</cp:coreProperties>
</file>